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6C7F5" w14:textId="77777777" w:rsidR="006B1942" w:rsidRDefault="006B1942" w:rsidP="000971E7">
      <w:pPr>
        <w:jc w:val="center"/>
        <w:rPr>
          <w:rFonts w:ascii="Calibri" w:eastAsia="Times New Roman" w:hAnsi="Calibri" w:cs="Times New Roman"/>
          <w:b/>
          <w:bCs/>
          <w:caps/>
          <w:color w:val="auto"/>
          <w:kern w:val="36"/>
          <w:sz w:val="32"/>
          <w:szCs w:val="48"/>
          <w:lang w:eastAsia="cs-CZ"/>
        </w:rPr>
      </w:pPr>
    </w:p>
    <w:p w14:paraId="29AE07D6" w14:textId="01D8A2FB" w:rsidR="00B60B5D" w:rsidRDefault="00336EB5" w:rsidP="000971E7">
      <w:pPr>
        <w:jc w:val="center"/>
        <w:rPr>
          <w:rFonts w:ascii="Calibri" w:eastAsia="Times New Roman" w:hAnsi="Calibri" w:cs="Times New Roman"/>
          <w:b/>
          <w:bCs/>
          <w:caps/>
          <w:color w:val="auto"/>
          <w:kern w:val="36"/>
          <w:sz w:val="32"/>
          <w:szCs w:val="48"/>
          <w:lang w:eastAsia="cs-CZ"/>
        </w:rPr>
      </w:pPr>
      <w:r w:rsidRPr="003607F0">
        <w:rPr>
          <w:rFonts w:ascii="Calibri" w:eastAsia="Times New Roman" w:hAnsi="Calibri" w:cs="Times New Roman"/>
          <w:b/>
          <w:bCs/>
          <w:caps/>
          <w:color w:val="auto"/>
          <w:kern w:val="36"/>
          <w:sz w:val="32"/>
          <w:szCs w:val="48"/>
          <w:lang w:eastAsia="cs-CZ"/>
        </w:rPr>
        <w:t xml:space="preserve">Příloha č. 2 </w:t>
      </w:r>
      <w:r w:rsidR="002C34B7" w:rsidRPr="003607F0">
        <w:rPr>
          <w:rFonts w:ascii="Calibri" w:eastAsia="Times New Roman" w:hAnsi="Calibri" w:cs="Times New Roman"/>
          <w:b/>
          <w:bCs/>
          <w:caps/>
          <w:color w:val="auto"/>
          <w:kern w:val="36"/>
          <w:sz w:val="32"/>
          <w:szCs w:val="48"/>
          <w:lang w:eastAsia="cs-CZ"/>
        </w:rPr>
        <w:t>–</w:t>
      </w:r>
      <w:r w:rsidRPr="003607F0">
        <w:rPr>
          <w:rFonts w:ascii="Calibri" w:eastAsia="Times New Roman" w:hAnsi="Calibri" w:cs="Times New Roman"/>
          <w:b/>
          <w:bCs/>
          <w:caps/>
          <w:color w:val="auto"/>
          <w:kern w:val="36"/>
          <w:sz w:val="32"/>
          <w:szCs w:val="48"/>
          <w:lang w:eastAsia="cs-CZ"/>
        </w:rPr>
        <w:t xml:space="preserve"> </w:t>
      </w:r>
      <w:r w:rsidR="002C34B7" w:rsidRPr="003607F0">
        <w:rPr>
          <w:rFonts w:ascii="Calibri" w:eastAsia="Times New Roman" w:hAnsi="Calibri" w:cs="Times New Roman"/>
          <w:b/>
          <w:bCs/>
          <w:caps/>
          <w:color w:val="auto"/>
          <w:kern w:val="36"/>
          <w:sz w:val="32"/>
          <w:szCs w:val="48"/>
          <w:lang w:eastAsia="cs-CZ"/>
        </w:rPr>
        <w:t>Vzorové případy „RED FLAGS“ a POPIS TYPů rizik</w:t>
      </w:r>
    </w:p>
    <w:p w14:paraId="5E44F616" w14:textId="77777777" w:rsidR="006B1942" w:rsidRPr="003607F0" w:rsidRDefault="006B1942" w:rsidP="000971E7">
      <w:pPr>
        <w:jc w:val="center"/>
      </w:pPr>
    </w:p>
    <w:p w14:paraId="16C4AC3A" w14:textId="6EF122DD" w:rsidR="00336EB5" w:rsidRDefault="00336EB5" w:rsidP="00B60B5D">
      <w:pPr>
        <w:pStyle w:val="Nadpis1-mimoobsah"/>
        <w:numPr>
          <w:ilvl w:val="0"/>
          <w:numId w:val="52"/>
        </w:numPr>
      </w:pPr>
      <w:r>
        <w:t>VZOROVÉ PŘÍPADY „RED FLAGS“</w:t>
      </w:r>
    </w:p>
    <w:p w14:paraId="04F57A3E" w14:textId="6E634342" w:rsidR="00336EB5" w:rsidRDefault="002C34B7" w:rsidP="00187561">
      <w:pPr>
        <w:jc w:val="both"/>
      </w:pPr>
      <w:r>
        <w:t xml:space="preserve">V této části dokumentu je </w:t>
      </w:r>
      <w:r w:rsidR="00336EB5">
        <w:t>obsa</w:t>
      </w:r>
      <w:r>
        <w:t>žen</w:t>
      </w:r>
      <w:r w:rsidR="00336EB5">
        <w:t xml:space="preserve"> výčet nejčastějších indikátorů</w:t>
      </w:r>
      <w:r w:rsidR="00D275DB">
        <w:t xml:space="preserve">, tj. </w:t>
      </w:r>
      <w:r w:rsidR="00336EB5">
        <w:t>„RED FLAGS“</w:t>
      </w:r>
      <w:r w:rsidR="00D275DB">
        <w:t>, pro odhalení závažných nesrovnalostí typu podvod, korupce, střet zájmů, dvojí financování</w:t>
      </w:r>
      <w:r w:rsidR="00336EB5">
        <w:t xml:space="preserve">. Účelem tohoto dokumentu </w:t>
      </w:r>
      <w:r w:rsidR="00BF0D56">
        <w:t xml:space="preserve">je poskytnout VK/SI vzorové </w:t>
      </w:r>
      <w:r w:rsidR="00D275DB">
        <w:t>příklady případů</w:t>
      </w:r>
      <w:r w:rsidR="00BF0D56">
        <w:t xml:space="preserve">, které mohou </w:t>
      </w:r>
      <w:r w:rsidR="00D275DB">
        <w:t xml:space="preserve">sloužit k odhalení výše uvedených nesrovnalostí a mohou </w:t>
      </w:r>
      <w:r w:rsidR="00BF0D56">
        <w:t>být i</w:t>
      </w:r>
      <w:r w:rsidR="00BB2AB2">
        <w:t> </w:t>
      </w:r>
      <w:r w:rsidR="00BF0D56">
        <w:t xml:space="preserve">podnětem pro aktualizace stávajících kontrolních procesů. </w:t>
      </w:r>
    </w:p>
    <w:p w14:paraId="585F5E62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 xml:space="preserve">neznámý 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>skutečný majitel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5DB4C8D7" w14:textId="77777777" w:rsidR="00D33042" w:rsidRP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skutečný majitel s původem v Ruské federaci,</w:t>
      </w:r>
    </w:p>
    <w:p w14:paraId="7B89C7E1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významný počet stupňů v dodavatelském řetězci</w:t>
      </w:r>
      <w:r w:rsidR="00D33042">
        <w:rPr>
          <w:rFonts w:asciiTheme="minorHAnsi" w:eastAsia="Times New Roman" w:hAnsiTheme="minorHAnsi" w:cstheme="minorHAnsi"/>
          <w:szCs w:val="24"/>
          <w:lang w:eastAsia="cs-CZ"/>
        </w:rPr>
        <w:t xml:space="preserve"> (3 a více)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6FC5F287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dodavatelský řetězec tvoří vzájemně propojené/ovládané </w:t>
      </w:r>
      <w:r w:rsidR="00D33042" w:rsidRPr="001F472A">
        <w:rPr>
          <w:rFonts w:asciiTheme="minorHAnsi" w:eastAsia="Times New Roman" w:hAnsiTheme="minorHAnsi" w:cstheme="minorHAnsi"/>
          <w:szCs w:val="24"/>
          <w:lang w:eastAsia="cs-CZ"/>
        </w:rPr>
        <w:t>společnosti</w:t>
      </w:r>
      <w:r w:rsidR="00D33042">
        <w:rPr>
          <w:rFonts w:asciiTheme="minorHAnsi" w:eastAsia="Times New Roman" w:hAnsiTheme="minorHAnsi" w:cstheme="minorHAnsi"/>
          <w:szCs w:val="24"/>
          <w:lang w:eastAsia="cs-CZ"/>
        </w:rPr>
        <w:t xml:space="preserve"> (např. se shodným skutečným majitelem)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17F6258C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existence kartelové dohody v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 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>odvětví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590B331D" w14:textId="77777777" w:rsid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dodavatelský řetězec směřuje do zahraničí, přestože jde o plnění běžně dostupné v členském státě,</w:t>
      </w:r>
    </w:p>
    <w:p w14:paraId="1DB4D5C6" w14:textId="77777777" w:rsidR="00D33042" w:rsidRP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opakované zprávy z médií o pletichách při uzavírání obchodů v daném odvětví nebo u daného dodavatele,</w:t>
      </w:r>
    </w:p>
    <w:p w14:paraId="3D79D888" w14:textId="77777777" w:rsidR="00D33042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stejná adresa dodavatele a příjemce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  <w:r w:rsidR="00D33042" w:rsidRPr="00D33042">
        <w:rPr>
          <w:rFonts w:asciiTheme="minorHAnsi" w:eastAsia="Times New Roman" w:hAnsiTheme="minorHAnsi" w:cstheme="minorHAnsi"/>
          <w:szCs w:val="24"/>
          <w:lang w:eastAsia="cs-CZ"/>
        </w:rPr>
        <w:t xml:space="preserve"> </w:t>
      </w:r>
    </w:p>
    <w:p w14:paraId="0674BDD0" w14:textId="4DAD15CA" w:rsid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 xml:space="preserve">stejná adresa dodavatele a </w:t>
      </w:r>
      <w:r w:rsidR="008371C7">
        <w:rPr>
          <w:rFonts w:asciiTheme="minorHAnsi" w:eastAsia="Times New Roman" w:hAnsiTheme="minorHAnsi" w:cstheme="minorHAnsi"/>
          <w:szCs w:val="24"/>
          <w:lang w:eastAsia="cs-CZ"/>
        </w:rPr>
        <w:t>subdodavatele</w:t>
      </w:r>
      <w:r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47A29753" w14:textId="0429B31D" w:rsidR="00336EB5" w:rsidRP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 xml:space="preserve">stejné osoby podepisují na operativní úrovni dokumenty za dodavatele i </w:t>
      </w:r>
      <w:r w:rsidR="008371C7">
        <w:rPr>
          <w:rFonts w:asciiTheme="minorHAnsi" w:eastAsia="Times New Roman" w:hAnsiTheme="minorHAnsi" w:cstheme="minorHAnsi"/>
          <w:szCs w:val="24"/>
          <w:lang w:eastAsia="cs-CZ"/>
        </w:rPr>
        <w:t>subdodavatele</w:t>
      </w:r>
      <w:r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43941EEC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podezření na fingované plnění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2473206C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podezření na falešnou fakturu/prohlášení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6FAF9D28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v dodavatelském řetězci zapojena problematická firma (např. v likvidaci, konkurzu, exekuci)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3F2D0423" w14:textId="77777777" w:rsidR="00D33042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použito jednací řízení bez uveřejnění, </w:t>
      </w:r>
    </w:p>
    <w:p w14:paraId="3D048F40" w14:textId="77777777" w:rsid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není zřejmý použitý postup při zadávacím řízení,</w:t>
      </w:r>
    </w:p>
    <w:p w14:paraId="72F87099" w14:textId="0FD52079" w:rsidR="00336EB5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 xml:space="preserve">využito </w:t>
      </w:r>
      <w:r w:rsidR="00336EB5"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výrazně 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>krat</w:t>
      </w:r>
      <w:r>
        <w:rPr>
          <w:rFonts w:asciiTheme="minorHAnsi" w:eastAsia="Times New Roman" w:hAnsiTheme="minorHAnsi" w:cstheme="minorHAnsi"/>
          <w:szCs w:val="24"/>
          <w:lang w:eastAsia="cs-CZ"/>
        </w:rPr>
        <w:t>ších</w:t>
      </w:r>
      <w:r w:rsidR="00336EB5"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 lhůt pro podání nabídek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4004A26E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uchazečům u veřejné zakázky nebyly poskytovány informace ve stejném rozsahu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0CD831C0" w14:textId="77777777" w:rsidR="00D33042" w:rsidRP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uchazečům u veřejné zakázky nebyly zodpovězeny dotazy,</w:t>
      </w:r>
    </w:p>
    <w:p w14:paraId="5CF959C8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u veřejné zakázky definice předmětu nejasná nebo vágní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64F62EFC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nabídky více uchazečů obsahují stejný text, stejné gramatické chyby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537577E0" w14:textId="77777777" w:rsidR="00D33042" w:rsidRP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kvalifikační předpoklady cíleně na míru vybranému dodavateli,</w:t>
      </w:r>
    </w:p>
    <w:p w14:paraId="5C84AFA7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kvalifikační předpoklady jsou diskriminační, napsané účelově s cílem upřednostnit jednoho uchazeče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69538D5B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smlouva s vítězem byla změněna v rozporu se zadávací dokumentací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4562C748" w14:textId="77777777" w:rsidR="00D33042" w:rsidRP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uzavření dodatku ke smlouvě s dodavatelem v rozporu s původní zadávací dokumentací,</w:t>
      </w:r>
    </w:p>
    <w:p w14:paraId="7983EC38" w14:textId="7E4B7BF3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lastRenderedPageBreak/>
        <w:t xml:space="preserve">podpořeny </w:t>
      </w:r>
      <w:r w:rsidR="00D52954">
        <w:rPr>
          <w:rFonts w:asciiTheme="minorHAnsi" w:eastAsia="Times New Roman" w:hAnsiTheme="minorHAnsi" w:cstheme="minorHAnsi"/>
          <w:szCs w:val="24"/>
          <w:lang w:eastAsia="cs-CZ"/>
        </w:rPr>
        <w:t>operace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>, které dle výzvy byly nezpůsobilé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550A2318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příjemce</w:t>
      </w:r>
      <w:r>
        <w:rPr>
          <w:rFonts w:asciiTheme="minorHAnsi" w:eastAsia="Times New Roman" w:hAnsiTheme="minorHAnsi" w:cstheme="minorHAnsi"/>
          <w:szCs w:val="24"/>
          <w:lang w:eastAsia="cs-CZ"/>
        </w:rPr>
        <w:t>/dodavatel je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 v konkurzu, v likvidaci, v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 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>exekuci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00F12837" w14:textId="30DF09BF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kontrolu </w:t>
      </w:r>
      <w:r w:rsidR="00D52954">
        <w:rPr>
          <w:rFonts w:asciiTheme="minorHAnsi" w:eastAsia="Times New Roman" w:hAnsiTheme="minorHAnsi" w:cstheme="minorHAnsi"/>
          <w:szCs w:val="24"/>
          <w:lang w:eastAsia="cs-CZ"/>
        </w:rPr>
        <w:t>operací</w:t>
      </w:r>
      <w:r w:rsidR="00D52954"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 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>provádí jiný subjekt než ten, který prováděl hodnocení a vydával právní akty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3EA066F3" w14:textId="7785B096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výstupy </w:t>
      </w:r>
      <w:r w:rsidR="00D52954">
        <w:rPr>
          <w:rFonts w:asciiTheme="minorHAnsi" w:eastAsia="Times New Roman" w:hAnsiTheme="minorHAnsi" w:cstheme="minorHAnsi"/>
          <w:szCs w:val="24"/>
          <w:lang w:eastAsia="cs-CZ"/>
        </w:rPr>
        <w:t>operace</w:t>
      </w:r>
      <w:r w:rsidR="00D52954"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 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>nelze ověřit na místě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2A9A4F1F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příjemce odmítá poskytnout informace nebo dokumenty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7CDA2B34" w14:textId="77777777" w:rsidR="00D33042" w:rsidRP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příjemce nereaguje na opakované výzvy a nekomunikuje,</w:t>
      </w:r>
    </w:p>
    <w:p w14:paraId="58B86D04" w14:textId="5ED4604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ve zprávě/účetním dokladu byly zjištěny početní chyby, pokud jde o vykázaný výstup </w:t>
      </w:r>
      <w:r w:rsidR="00D52954">
        <w:rPr>
          <w:rFonts w:asciiTheme="minorHAnsi" w:eastAsia="Times New Roman" w:hAnsiTheme="minorHAnsi" w:cstheme="minorHAnsi"/>
          <w:szCs w:val="24"/>
          <w:lang w:eastAsia="cs-CZ"/>
        </w:rPr>
        <w:t>operace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363B077F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příjemce </w:t>
      </w:r>
      <w:r>
        <w:rPr>
          <w:rFonts w:asciiTheme="minorHAnsi" w:eastAsia="Times New Roman" w:hAnsiTheme="minorHAnsi" w:cstheme="minorHAnsi"/>
          <w:szCs w:val="24"/>
          <w:lang w:eastAsia="cs-CZ"/>
        </w:rPr>
        <w:t>či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 jeho zaměstnanec je vyšetřován pro uplácení nebo obdobný korupční trestný čin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119B7333" w14:textId="77777777" w:rsidR="00D33042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zaměstnanec poskytovatele podpory je vyšetřován pro přijetí úplatku nebo obdobný korupční trestný čin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  <w:r w:rsidR="00D33042" w:rsidRPr="00D33042">
        <w:rPr>
          <w:rFonts w:asciiTheme="minorHAnsi" w:eastAsia="Times New Roman" w:hAnsiTheme="minorHAnsi" w:cstheme="minorHAnsi"/>
          <w:szCs w:val="24"/>
          <w:lang w:eastAsia="cs-CZ"/>
        </w:rPr>
        <w:t xml:space="preserve"> </w:t>
      </w:r>
    </w:p>
    <w:p w14:paraId="139F19C3" w14:textId="77777777" w:rsid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příjemce či jeho zaměstnanec je vyšetřován pro podvod,</w:t>
      </w:r>
    </w:p>
    <w:p w14:paraId="59AC0416" w14:textId="4EC91303" w:rsidR="00336EB5" w:rsidRP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 xml:space="preserve">dodavatel, </w:t>
      </w:r>
      <w:r w:rsidR="008371C7">
        <w:rPr>
          <w:rFonts w:asciiTheme="minorHAnsi" w:eastAsia="Times New Roman" w:hAnsiTheme="minorHAnsi" w:cstheme="minorHAnsi"/>
          <w:szCs w:val="24"/>
          <w:lang w:eastAsia="cs-CZ"/>
        </w:rPr>
        <w:t>sub</w:t>
      </w:r>
      <w:r>
        <w:rPr>
          <w:rFonts w:asciiTheme="minorHAnsi" w:eastAsia="Times New Roman" w:hAnsiTheme="minorHAnsi" w:cstheme="minorHAnsi"/>
          <w:szCs w:val="24"/>
          <w:lang w:eastAsia="cs-CZ"/>
        </w:rPr>
        <w:t>dodavatel nebo jejich zaměstnanec je vyšetřován pro podvod/korupci,</w:t>
      </w:r>
    </w:p>
    <w:p w14:paraId="3725AD50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poradenské služby neodůvodňují potřebu (tj. v úřadě nebo příjemci existují osoby, které mají potřebnou obornou kapacitu – právníci, IT experti apod.)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3B76B06D" w14:textId="147E7251" w:rsidR="00D33042" w:rsidRP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poradenská firma je přímo zainteresována na</w:t>
      </w:r>
      <w:r w:rsidR="00D52954">
        <w:rPr>
          <w:rFonts w:asciiTheme="minorHAnsi" w:eastAsia="Times New Roman" w:hAnsiTheme="minorHAnsi" w:cstheme="minorHAnsi"/>
          <w:szCs w:val="24"/>
          <w:lang w:eastAsia="cs-CZ"/>
        </w:rPr>
        <w:t xml:space="preserve"> operaci</w:t>
      </w:r>
      <w:r>
        <w:rPr>
          <w:rFonts w:asciiTheme="minorHAnsi" w:eastAsia="Times New Roman" w:hAnsiTheme="minorHAnsi" w:cstheme="minorHAnsi"/>
          <w:szCs w:val="24"/>
          <w:lang w:eastAsia="cs-CZ"/>
        </w:rPr>
        <w:t xml:space="preserve"> (např. prostřednictvím vztahů skutečných majitelů, členů statutárního orgánu),</w:t>
      </w:r>
    </w:p>
    <w:p w14:paraId="535B21AF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hlavní příjemce neplní své závazky vůči partnerům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6A28197A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licenční dohoda k SW podepsána ještě před zadáním zakázky na hlavní dodávku HW/SW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1F665489" w14:textId="51F43DD4" w:rsidR="00D33042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nedostatečné kontrolní systémy pro ověření výstupu </w:t>
      </w:r>
      <w:r w:rsidR="00D52954">
        <w:rPr>
          <w:rFonts w:asciiTheme="minorHAnsi" w:eastAsia="Times New Roman" w:hAnsiTheme="minorHAnsi" w:cstheme="minorHAnsi"/>
          <w:szCs w:val="24"/>
          <w:lang w:eastAsia="cs-CZ"/>
        </w:rPr>
        <w:t>operace</w:t>
      </w:r>
      <w:r w:rsidR="00D52954"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 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u příjemce, </w:t>
      </w:r>
    </w:p>
    <w:p w14:paraId="33C5BEDF" w14:textId="77777777" w:rsidR="00336EB5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>nedostatečná odbornost</w:t>
      </w:r>
      <w:r w:rsidR="00D33042" w:rsidRPr="00D33042">
        <w:rPr>
          <w:rFonts w:asciiTheme="minorHAnsi" w:eastAsia="Times New Roman" w:hAnsiTheme="minorHAnsi" w:cstheme="minorHAnsi"/>
          <w:szCs w:val="24"/>
          <w:lang w:eastAsia="cs-CZ"/>
        </w:rPr>
        <w:t xml:space="preserve"> </w:t>
      </w:r>
      <w:r w:rsidR="00D33042">
        <w:rPr>
          <w:rFonts w:asciiTheme="minorHAnsi" w:eastAsia="Times New Roman" w:hAnsiTheme="minorHAnsi" w:cstheme="minorHAnsi"/>
          <w:szCs w:val="24"/>
          <w:lang w:eastAsia="cs-CZ"/>
        </w:rPr>
        <w:t>u příjemce nebo dodavatele</w:t>
      </w:r>
      <w:r w:rsidR="00BF0D56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44384635" w14:textId="12EB2BC4" w:rsidR="000F1818" w:rsidRDefault="00336EB5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 w:rsidRPr="001F472A">
        <w:rPr>
          <w:rFonts w:asciiTheme="minorHAnsi" w:eastAsia="Times New Roman" w:hAnsiTheme="minorHAnsi" w:cstheme="minorHAnsi"/>
          <w:szCs w:val="24"/>
          <w:lang w:eastAsia="cs-CZ"/>
        </w:rPr>
        <w:t xml:space="preserve">dodavatel odmítá uvést identitu </w:t>
      </w:r>
      <w:r w:rsidR="008371C7">
        <w:rPr>
          <w:rFonts w:asciiTheme="minorHAnsi" w:eastAsia="Times New Roman" w:hAnsiTheme="minorHAnsi" w:cstheme="minorHAnsi"/>
          <w:szCs w:val="24"/>
          <w:lang w:eastAsia="cs-CZ"/>
        </w:rPr>
        <w:t>sub</w:t>
      </w:r>
      <w:r w:rsidRPr="001F472A">
        <w:rPr>
          <w:rFonts w:asciiTheme="minorHAnsi" w:eastAsia="Times New Roman" w:hAnsiTheme="minorHAnsi" w:cstheme="minorHAnsi"/>
          <w:szCs w:val="24"/>
          <w:lang w:eastAsia="cs-CZ"/>
        </w:rPr>
        <w:t>dodavatelů</w:t>
      </w:r>
      <w:r w:rsidR="00D33042">
        <w:rPr>
          <w:rFonts w:asciiTheme="minorHAnsi" w:eastAsia="Times New Roman" w:hAnsiTheme="minorHAnsi" w:cstheme="minorHAnsi"/>
          <w:szCs w:val="24"/>
          <w:lang w:eastAsia="cs-CZ"/>
        </w:rPr>
        <w:t>,</w:t>
      </w:r>
    </w:p>
    <w:p w14:paraId="3DEA26E3" w14:textId="77777777" w:rsid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zadavatel veřejné zakázky není ochoten uvést jména neúspěšných uchazečů,</w:t>
      </w:r>
    </w:p>
    <w:p w14:paraId="5AE29ED1" w14:textId="77777777" w:rsid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>zadavatel veřejné zakázky ani jeho zaměstnanci prokazatelně nedisponují dostatečnou znalostí zákona o zadávání veřejných zakázek,</w:t>
      </w:r>
    </w:p>
    <w:p w14:paraId="42F39549" w14:textId="21F4D4E5" w:rsidR="00D33042" w:rsidRDefault="00D33042" w:rsidP="00187561">
      <w:pPr>
        <w:pStyle w:val="Prosttext"/>
        <w:numPr>
          <w:ilvl w:val="0"/>
          <w:numId w:val="43"/>
        </w:numPr>
        <w:spacing w:line="360" w:lineRule="auto"/>
        <w:jc w:val="both"/>
        <w:rPr>
          <w:rFonts w:asciiTheme="minorHAnsi" w:eastAsia="Times New Roman" w:hAnsiTheme="minorHAnsi" w:cstheme="minorHAnsi"/>
          <w:szCs w:val="24"/>
          <w:lang w:eastAsia="cs-CZ"/>
        </w:rPr>
      </w:pPr>
      <w:r>
        <w:rPr>
          <w:rFonts w:asciiTheme="minorHAnsi" w:eastAsia="Times New Roman" w:hAnsiTheme="minorHAnsi" w:cstheme="minorHAnsi"/>
          <w:szCs w:val="24"/>
          <w:lang w:eastAsia="cs-CZ"/>
        </w:rPr>
        <w:t xml:space="preserve">příjemce prokazatelně nejedná jako samostatný subjekt, ale v zájmu nebo pod vlivem dalších osob, které sledují nejasné zájmy ve spojitosti s realizací </w:t>
      </w:r>
      <w:r w:rsidR="00D52954">
        <w:rPr>
          <w:rFonts w:asciiTheme="minorHAnsi" w:eastAsia="Times New Roman" w:hAnsiTheme="minorHAnsi" w:cstheme="minorHAnsi"/>
          <w:szCs w:val="24"/>
          <w:lang w:eastAsia="cs-CZ"/>
        </w:rPr>
        <w:t>operace</w:t>
      </w:r>
      <w:r>
        <w:rPr>
          <w:rFonts w:asciiTheme="minorHAnsi" w:eastAsia="Times New Roman" w:hAnsiTheme="minorHAnsi" w:cstheme="minorHAnsi"/>
          <w:szCs w:val="24"/>
          <w:lang w:eastAsia="cs-CZ"/>
        </w:rPr>
        <w:t>.</w:t>
      </w:r>
    </w:p>
    <w:p w14:paraId="15B2F7CD" w14:textId="5307EF1B" w:rsidR="00510ABF" w:rsidRDefault="00510ABF" w:rsidP="00187561">
      <w:pPr>
        <w:spacing w:after="200" w:line="276" w:lineRule="auto"/>
        <w:jc w:val="both"/>
        <w:rPr>
          <w:lang w:eastAsia="cs-CZ"/>
        </w:rPr>
      </w:pPr>
      <w:r>
        <w:rPr>
          <w:lang w:eastAsia="cs-CZ"/>
        </w:rPr>
        <w:br w:type="page"/>
      </w:r>
    </w:p>
    <w:p w14:paraId="0DD924A1" w14:textId="62231061" w:rsidR="00D33042" w:rsidRPr="006B1942" w:rsidRDefault="002C34B7" w:rsidP="006B1942">
      <w:pPr>
        <w:pStyle w:val="Nadpis1-mimoobsah"/>
        <w:numPr>
          <w:ilvl w:val="0"/>
          <w:numId w:val="52"/>
        </w:numPr>
      </w:pPr>
      <w:r w:rsidRPr="006B1942">
        <w:lastRenderedPageBreak/>
        <w:t>POPIS TYPŮ RIZIK</w:t>
      </w:r>
    </w:p>
    <w:p w14:paraId="5E5EEDF5" w14:textId="072938C0" w:rsidR="00D33042" w:rsidRDefault="002C34B7" w:rsidP="0048404A">
      <w:pPr>
        <w:spacing w:line="360" w:lineRule="auto"/>
        <w:jc w:val="both"/>
        <w:rPr>
          <w:lang w:eastAsia="cs-CZ"/>
        </w:rPr>
      </w:pPr>
      <w:r>
        <w:rPr>
          <w:lang w:eastAsia="cs-CZ"/>
        </w:rPr>
        <w:t>V druhé části dokumentu jsou vyspecifikován</w:t>
      </w:r>
      <w:r w:rsidR="00581141">
        <w:rPr>
          <w:lang w:eastAsia="cs-CZ"/>
        </w:rPr>
        <w:t>y</w:t>
      </w:r>
      <w:r>
        <w:rPr>
          <w:lang w:eastAsia="cs-CZ"/>
        </w:rPr>
        <w:t xml:space="preserve"> základní typy rizik, které jsou využity v rámci analýzy rizik</w:t>
      </w:r>
      <w:r w:rsidR="00581141">
        <w:rPr>
          <w:lang w:eastAsia="cs-CZ"/>
        </w:rPr>
        <w:t>,</w:t>
      </w:r>
      <w:r>
        <w:rPr>
          <w:lang w:eastAsia="cs-CZ"/>
        </w:rPr>
        <w:t xml:space="preserve"> jsou k dispozici pro VK/SI. Tyto typy jsou v systému </w:t>
      </w:r>
      <w:r w:rsidR="00D84C8F">
        <w:rPr>
          <w:lang w:eastAsia="cs-CZ"/>
        </w:rPr>
        <w:t xml:space="preserve">AIS </w:t>
      </w:r>
      <w:r w:rsidR="003607F0">
        <w:rPr>
          <w:lang w:eastAsia="cs-CZ"/>
        </w:rPr>
        <w:t xml:space="preserve">MPO DU </w:t>
      </w:r>
      <w:r w:rsidR="00D84C8F">
        <w:rPr>
          <w:lang w:eastAsia="cs-CZ"/>
        </w:rPr>
        <w:t>dále</w:t>
      </w:r>
      <w:r>
        <w:rPr>
          <w:lang w:eastAsia="cs-CZ"/>
        </w:rPr>
        <w:t xml:space="preserve"> členěny na podtypy, které mohou být dle potřeby přidávány nebo odebírány ze strany </w:t>
      </w:r>
      <w:r w:rsidR="003607F0">
        <w:rPr>
          <w:lang w:eastAsia="cs-CZ"/>
        </w:rPr>
        <w:t>MPO-</w:t>
      </w:r>
      <w:r>
        <w:rPr>
          <w:lang w:eastAsia="cs-CZ"/>
        </w:rPr>
        <w:t>DU.</w:t>
      </w:r>
      <w:r w:rsidR="00395555">
        <w:rPr>
          <w:lang w:eastAsia="cs-CZ"/>
        </w:rPr>
        <w:t xml:space="preserve"> Níže je uvedený orientační výčet základních typů rizik, která mohou být variabilně přidávána a odebírána dle potřeby a aktuálního stavu</w:t>
      </w:r>
      <w:r w:rsidR="00551168">
        <w:rPr>
          <w:rStyle w:val="Znakapoznpodarou"/>
          <w:lang w:eastAsia="cs-CZ"/>
        </w:rPr>
        <w:footnoteReference w:id="1"/>
      </w:r>
      <w:r w:rsidR="00395555">
        <w:rPr>
          <w:lang w:eastAsia="cs-CZ"/>
        </w:rPr>
        <w:t>.</w:t>
      </w:r>
    </w:p>
    <w:p w14:paraId="76936287" w14:textId="7674A0BD" w:rsidR="00395555" w:rsidRDefault="00395555" w:rsidP="0048404A">
      <w:pPr>
        <w:spacing w:line="360" w:lineRule="auto"/>
        <w:jc w:val="both"/>
        <w:rPr>
          <w:lang w:eastAsia="cs-CZ"/>
        </w:rPr>
      </w:pPr>
      <w:r>
        <w:rPr>
          <w:lang w:eastAsia="cs-CZ"/>
        </w:rPr>
        <w:t>Typy rizik:</w:t>
      </w:r>
    </w:p>
    <w:p w14:paraId="2C4FC255" w14:textId="3174B919" w:rsidR="00395555" w:rsidRDefault="00395555" w:rsidP="00395555">
      <w:pPr>
        <w:pStyle w:val="Odstavecseseznamem"/>
        <w:numPr>
          <w:ilvl w:val="0"/>
          <w:numId w:val="55"/>
        </w:numPr>
        <w:spacing w:line="360" w:lineRule="auto"/>
        <w:jc w:val="both"/>
        <w:rPr>
          <w:lang w:eastAsia="cs-CZ"/>
        </w:rPr>
      </w:pPr>
      <w:r>
        <w:rPr>
          <w:lang w:eastAsia="cs-CZ"/>
        </w:rPr>
        <w:t xml:space="preserve">Finanční </w:t>
      </w:r>
      <w:r w:rsidR="004364F2">
        <w:rPr>
          <w:lang w:eastAsia="cs-CZ"/>
        </w:rPr>
        <w:t>riziko – Ekonomické</w:t>
      </w:r>
      <w:r>
        <w:rPr>
          <w:lang w:eastAsia="cs-CZ"/>
        </w:rPr>
        <w:t xml:space="preserve"> riziko se týká možných negativních dopadů na ekonomické a finanční procesy.</w:t>
      </w:r>
    </w:p>
    <w:p w14:paraId="686BF085" w14:textId="2FF5B645" w:rsidR="004364F2" w:rsidRDefault="00395555" w:rsidP="00C56A65">
      <w:pPr>
        <w:pStyle w:val="Odstavecseseznamem"/>
        <w:numPr>
          <w:ilvl w:val="0"/>
          <w:numId w:val="55"/>
        </w:numPr>
        <w:spacing w:line="360" w:lineRule="auto"/>
        <w:jc w:val="both"/>
        <w:rPr>
          <w:lang w:eastAsia="cs-CZ"/>
        </w:rPr>
      </w:pPr>
      <w:r>
        <w:rPr>
          <w:lang w:eastAsia="cs-CZ"/>
        </w:rPr>
        <w:t xml:space="preserve">Operační rizika – </w:t>
      </w:r>
      <w:r w:rsidR="004364F2">
        <w:rPr>
          <w:lang w:eastAsia="cs-CZ"/>
        </w:rPr>
        <w:t xml:space="preserve">Operační riziko se týká rizika spojeného s chybami, nedostatky nebo selháním v interních procesech, systémech, lidského faktoru nebo externích událostí, které mohou mít negativní dopad na činnost a výkonnost organizace. </w:t>
      </w:r>
    </w:p>
    <w:p w14:paraId="4CE0AE42" w14:textId="0CE640E3" w:rsidR="00395555" w:rsidRDefault="00395555" w:rsidP="00395555">
      <w:pPr>
        <w:pStyle w:val="Odstavecseseznamem"/>
        <w:numPr>
          <w:ilvl w:val="0"/>
          <w:numId w:val="55"/>
        </w:numPr>
        <w:spacing w:line="360" w:lineRule="auto"/>
        <w:jc w:val="both"/>
        <w:rPr>
          <w:lang w:eastAsia="cs-CZ"/>
        </w:rPr>
      </w:pPr>
      <w:r>
        <w:rPr>
          <w:lang w:eastAsia="cs-CZ"/>
        </w:rPr>
        <w:t xml:space="preserve">Provozní </w:t>
      </w:r>
      <w:r w:rsidR="004364F2">
        <w:rPr>
          <w:lang w:eastAsia="cs-CZ"/>
        </w:rPr>
        <w:t>rizika – Provozní</w:t>
      </w:r>
      <w:r>
        <w:rPr>
          <w:lang w:eastAsia="cs-CZ"/>
        </w:rPr>
        <w:t xml:space="preserve"> riziko se týká rizika spojeného s chybami, selháním nebo nedostatky a</w:t>
      </w:r>
      <w:r w:rsidR="00BB2AB2">
        <w:rPr>
          <w:lang w:eastAsia="cs-CZ"/>
        </w:rPr>
        <w:t> </w:t>
      </w:r>
      <w:r>
        <w:rPr>
          <w:lang w:eastAsia="cs-CZ"/>
        </w:rPr>
        <w:t>událostmi v rámci provozu organizace (např. nedostatečná auditní stopa, HW, SW atd.).</w:t>
      </w:r>
    </w:p>
    <w:p w14:paraId="13CE0443" w14:textId="78540DAB" w:rsidR="00395555" w:rsidRDefault="00395555" w:rsidP="00395555">
      <w:pPr>
        <w:pStyle w:val="Odstavecseseznamem"/>
        <w:numPr>
          <w:ilvl w:val="0"/>
          <w:numId w:val="55"/>
        </w:numPr>
        <w:spacing w:line="360" w:lineRule="auto"/>
        <w:jc w:val="both"/>
        <w:rPr>
          <w:lang w:eastAsia="cs-CZ"/>
        </w:rPr>
      </w:pPr>
      <w:r>
        <w:rPr>
          <w:lang w:eastAsia="cs-CZ"/>
        </w:rPr>
        <w:t>Rizika dle článku 22 nařízení – Rizika podvodu, korupce, dvojího financování, střetu zájmů a</w:t>
      </w:r>
      <w:r w:rsidR="00BB2AB2">
        <w:rPr>
          <w:lang w:eastAsia="cs-CZ"/>
        </w:rPr>
        <w:t> </w:t>
      </w:r>
      <w:r>
        <w:rPr>
          <w:lang w:eastAsia="cs-CZ"/>
        </w:rPr>
        <w:t>klientelismu (viz. body 2.1 a 2.2).</w:t>
      </w:r>
    </w:p>
    <w:p w14:paraId="0CF94999" w14:textId="3D513FC9" w:rsidR="004364F2" w:rsidRDefault="00395555" w:rsidP="00C56A65">
      <w:pPr>
        <w:pStyle w:val="Odstavecseseznamem"/>
        <w:numPr>
          <w:ilvl w:val="0"/>
          <w:numId w:val="55"/>
        </w:numPr>
        <w:spacing w:line="360" w:lineRule="auto"/>
        <w:jc w:val="both"/>
        <w:rPr>
          <w:lang w:eastAsia="cs-CZ"/>
        </w:rPr>
      </w:pPr>
      <w:r>
        <w:rPr>
          <w:lang w:eastAsia="cs-CZ"/>
        </w:rPr>
        <w:t xml:space="preserve">Legislativní </w:t>
      </w:r>
      <w:r w:rsidR="004364F2">
        <w:rPr>
          <w:lang w:eastAsia="cs-CZ"/>
        </w:rPr>
        <w:t>rizika – Legislativní rizika jsou úzce spojena se změnou legislativy, které mohou mít dopad na organizaci. Zároveň se může jednat i o změny v nadřízených metodikách a nejistoty v právním rámci, který reguluje činnost organizace.</w:t>
      </w:r>
    </w:p>
    <w:p w14:paraId="54213504" w14:textId="5567FE1A" w:rsidR="00395555" w:rsidRDefault="004364F2" w:rsidP="004364F2">
      <w:pPr>
        <w:pStyle w:val="Odstavecseseznamem"/>
        <w:numPr>
          <w:ilvl w:val="0"/>
          <w:numId w:val="55"/>
        </w:numPr>
        <w:spacing w:line="360" w:lineRule="auto"/>
        <w:jc w:val="both"/>
        <w:rPr>
          <w:lang w:eastAsia="cs-CZ"/>
        </w:rPr>
      </w:pPr>
      <w:r>
        <w:rPr>
          <w:lang w:eastAsia="cs-CZ"/>
        </w:rPr>
        <w:t>Strategická rizika – Strategická rizika jsou rizika spojená s dlouhodobou strategií a směřováním organizace/útvaru. Jedná se o rizika, která mohou mít vliv na schopnost organizace dosáhnout svých strategických cílů a realizovat svou misi.</w:t>
      </w:r>
    </w:p>
    <w:p w14:paraId="4BAFE6DE" w14:textId="7BFAC608" w:rsidR="004364F2" w:rsidRDefault="004364F2" w:rsidP="00395555">
      <w:pPr>
        <w:pStyle w:val="Odstavecseseznamem"/>
        <w:numPr>
          <w:ilvl w:val="0"/>
          <w:numId w:val="55"/>
        </w:numPr>
        <w:spacing w:line="360" w:lineRule="auto"/>
        <w:jc w:val="both"/>
        <w:rPr>
          <w:lang w:eastAsia="cs-CZ"/>
        </w:rPr>
      </w:pPr>
      <w:r>
        <w:rPr>
          <w:lang w:eastAsia="cs-CZ"/>
        </w:rPr>
        <w:t>Projektová rizika – Projektová rizika jsou rizika spojená s plánováním, realizací a řízením projektů. Jedná se o rizika, která mohou mít negativní dopad na dosahování cílů projektu, plnění rozpočtu, dodržování harmonogramu nebo kvalitu výsledků projektu.</w:t>
      </w:r>
    </w:p>
    <w:p w14:paraId="7714F1D2" w14:textId="186D28B6" w:rsidR="004364F2" w:rsidRDefault="004364F2" w:rsidP="004364F2">
      <w:pPr>
        <w:pStyle w:val="Odstavecseseznamem"/>
        <w:numPr>
          <w:ilvl w:val="0"/>
          <w:numId w:val="55"/>
        </w:numPr>
        <w:spacing w:line="360" w:lineRule="auto"/>
        <w:jc w:val="both"/>
        <w:rPr>
          <w:lang w:eastAsia="cs-CZ"/>
        </w:rPr>
      </w:pPr>
      <w:r>
        <w:rPr>
          <w:lang w:eastAsia="cs-CZ"/>
        </w:rPr>
        <w:t>Rizika spojená se žadateli – Riziko spojené s žadateli o dotaci se týká nejistoty a potenciálních negativních dopadů, které mohou vzniknout při žádosti o finanční podporu nebo dotaci od řídícího orgánů nebo jiného poskytovatele dotace v závislosti na zdroji finančních prostředků.</w:t>
      </w:r>
    </w:p>
    <w:p w14:paraId="2CD0F1AD" w14:textId="09E4AFD0" w:rsidR="004364F2" w:rsidRDefault="004364F2" w:rsidP="00C56A65">
      <w:pPr>
        <w:pStyle w:val="Odstavecseseznamem"/>
        <w:numPr>
          <w:ilvl w:val="0"/>
          <w:numId w:val="55"/>
        </w:numPr>
        <w:spacing w:line="360" w:lineRule="auto"/>
        <w:jc w:val="both"/>
        <w:rPr>
          <w:lang w:eastAsia="cs-CZ"/>
        </w:rPr>
      </w:pPr>
      <w:r>
        <w:rPr>
          <w:lang w:eastAsia="cs-CZ"/>
        </w:rPr>
        <w:t>Ostatní</w:t>
      </w:r>
    </w:p>
    <w:p w14:paraId="3BA535A8" w14:textId="77777777" w:rsidR="002C34B7" w:rsidRDefault="002C34B7" w:rsidP="00683B4C">
      <w:pPr>
        <w:spacing w:line="360" w:lineRule="auto"/>
        <w:rPr>
          <w:lang w:eastAsia="cs-CZ"/>
        </w:rPr>
      </w:pPr>
    </w:p>
    <w:p w14:paraId="70C7F3F7" w14:textId="5372E455" w:rsidR="00395555" w:rsidRPr="00E06040" w:rsidRDefault="00395555" w:rsidP="00C56A65">
      <w:pPr>
        <w:pStyle w:val="Odstavecseseznamem"/>
        <w:spacing w:after="0" w:line="360" w:lineRule="auto"/>
        <w:ind w:left="142"/>
        <w:contextualSpacing w:val="0"/>
        <w:outlineLvl w:val="0"/>
        <w:rPr>
          <w:rFonts w:ascii="Calibri" w:eastAsia="Times New Roman" w:hAnsi="Calibri" w:cs="Times New Roman"/>
          <w:b/>
          <w:bCs/>
          <w:caps/>
          <w:vanish/>
          <w:color w:val="auto"/>
          <w:kern w:val="36"/>
          <w:sz w:val="32"/>
          <w:szCs w:val="48"/>
          <w:lang w:eastAsia="cs-CZ"/>
        </w:rPr>
      </w:pPr>
    </w:p>
    <w:p w14:paraId="41E74191" w14:textId="77777777" w:rsidR="00395555" w:rsidRPr="00E06040" w:rsidRDefault="00395555" w:rsidP="00E06040">
      <w:pPr>
        <w:pStyle w:val="Odstavecseseznamem"/>
        <w:numPr>
          <w:ilvl w:val="0"/>
          <w:numId w:val="50"/>
        </w:numPr>
        <w:spacing w:after="0" w:line="360" w:lineRule="auto"/>
        <w:ind w:left="142" w:hanging="142"/>
        <w:contextualSpacing w:val="0"/>
        <w:jc w:val="center"/>
        <w:outlineLvl w:val="0"/>
        <w:rPr>
          <w:rFonts w:ascii="Calibri" w:eastAsia="Times New Roman" w:hAnsi="Calibri" w:cs="Times New Roman"/>
          <w:b/>
          <w:bCs/>
          <w:caps/>
          <w:vanish/>
          <w:color w:val="auto"/>
          <w:kern w:val="36"/>
          <w:sz w:val="32"/>
          <w:szCs w:val="48"/>
          <w:lang w:eastAsia="cs-CZ"/>
        </w:rPr>
      </w:pPr>
    </w:p>
    <w:p w14:paraId="00421D10" w14:textId="77777777" w:rsidR="00D84C8F" w:rsidRDefault="00D84C8F" w:rsidP="00094FB1">
      <w:pPr>
        <w:pStyle w:val="Odstavecseseznamem"/>
        <w:spacing w:line="360" w:lineRule="auto"/>
        <w:ind w:left="142"/>
        <w:jc w:val="both"/>
        <w:rPr>
          <w:lang w:eastAsia="cs-CZ"/>
        </w:rPr>
      </w:pPr>
    </w:p>
    <w:p w14:paraId="0B55F652" w14:textId="202480A2" w:rsidR="00510ABF" w:rsidRPr="006B1942" w:rsidRDefault="004364F2" w:rsidP="00C56A65">
      <w:pPr>
        <w:pStyle w:val="Nadpis2-mimoobsah"/>
        <w:ind w:left="720"/>
      </w:pPr>
      <w:r>
        <w:lastRenderedPageBreak/>
        <w:t>2.1</w:t>
      </w:r>
      <w:r>
        <w:tab/>
      </w:r>
      <w:r w:rsidR="00510ABF" w:rsidRPr="006B1942">
        <w:t>Riziko podvodu a korupce</w:t>
      </w:r>
    </w:p>
    <w:p w14:paraId="68F80322" w14:textId="0B20FB51" w:rsidR="00510ABF" w:rsidRDefault="00510ABF" w:rsidP="00094FB1">
      <w:pPr>
        <w:overflowPunct w:val="0"/>
        <w:spacing w:before="120" w:after="120" w:line="360" w:lineRule="auto"/>
        <w:jc w:val="both"/>
        <w:textAlignment w:val="baseline"/>
        <w:rPr>
          <w:rFonts w:eastAsia="Arial-BoldMT"/>
        </w:rPr>
      </w:pPr>
      <w:r>
        <w:rPr>
          <w:rFonts w:eastAsia="Arial-BoldMT"/>
        </w:rPr>
        <w:t>Riziko výskytu podvodu a korupce nelze zcela eliminovat, je ho tedy potřeba aktivně řídit. Principy, které je třeba respektovat v rámci kontrolní činnosti VK/SI jsou:</w:t>
      </w:r>
    </w:p>
    <w:p w14:paraId="0D9D2451" w14:textId="77777777" w:rsidR="00510ABF" w:rsidRPr="007B7DB6" w:rsidRDefault="00510ABF" w:rsidP="00E06040">
      <w:pPr>
        <w:pStyle w:val="Odstavecseseznamem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eastAsia="Arial-BoldMT"/>
        </w:rPr>
      </w:pPr>
      <w:r w:rsidRPr="007B7DB6">
        <w:rPr>
          <w:rFonts w:eastAsia="Arial-BoldMT"/>
        </w:rPr>
        <w:t>nulová tolerance podvodů na všech úrovních implementace ESI fondů,</w:t>
      </w:r>
    </w:p>
    <w:p w14:paraId="6086FFA8" w14:textId="77777777" w:rsidR="00510ABF" w:rsidRPr="007B7DB6" w:rsidRDefault="00510ABF" w:rsidP="00E06040">
      <w:pPr>
        <w:pStyle w:val="Odstavecseseznamem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eastAsia="Arial-BoldMT"/>
        </w:rPr>
      </w:pPr>
      <w:r w:rsidRPr="007B7DB6">
        <w:rPr>
          <w:rFonts w:eastAsia="Arial-BoldMT"/>
        </w:rPr>
        <w:t>transparentnost,</w:t>
      </w:r>
    </w:p>
    <w:p w14:paraId="360AADC4" w14:textId="77777777" w:rsidR="00510ABF" w:rsidRPr="007B7DB6" w:rsidRDefault="00510ABF" w:rsidP="00E06040">
      <w:pPr>
        <w:pStyle w:val="Odstavecseseznamem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eastAsia="Arial-BoldMT"/>
        </w:rPr>
      </w:pPr>
      <w:r w:rsidRPr="007B7DB6">
        <w:rPr>
          <w:rFonts w:eastAsia="Arial-BoldMT"/>
        </w:rPr>
        <w:t>snižování administrativní zátěže,</w:t>
      </w:r>
    </w:p>
    <w:p w14:paraId="52B91AF5" w14:textId="77777777" w:rsidR="00510ABF" w:rsidRPr="007B7DB6" w:rsidRDefault="00510ABF" w:rsidP="00E06040">
      <w:pPr>
        <w:pStyle w:val="Odstavecseseznamem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eastAsia="Arial-BoldMT"/>
        </w:rPr>
      </w:pPr>
      <w:r w:rsidRPr="007B7DB6">
        <w:rPr>
          <w:rFonts w:eastAsia="Arial-BoldMT"/>
        </w:rPr>
        <w:t>jasné a jednoduché postupy,</w:t>
      </w:r>
    </w:p>
    <w:p w14:paraId="224C1248" w14:textId="77777777" w:rsidR="00510ABF" w:rsidRPr="007B7DB6" w:rsidRDefault="00510ABF" w:rsidP="00CE011D">
      <w:pPr>
        <w:pStyle w:val="Odstavecseseznamem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eastAsia="Arial-BoldMT"/>
        </w:rPr>
      </w:pPr>
      <w:r w:rsidRPr="007B7DB6">
        <w:rPr>
          <w:rFonts w:eastAsia="Arial-BoldMT"/>
        </w:rPr>
        <w:t>hospodárnost, účelnost a efektivnost,</w:t>
      </w:r>
    </w:p>
    <w:p w14:paraId="5B660F80" w14:textId="77777777" w:rsidR="00510ABF" w:rsidRPr="00140D4E" w:rsidRDefault="00510ABF" w:rsidP="00CE011D">
      <w:pPr>
        <w:pStyle w:val="Odstavecseseznamem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  <w:rPr>
          <w:rFonts w:ascii="Calibri" w:eastAsia="Times New Roman" w:hAnsi="Calibri" w:cs="Times New Roman"/>
          <w:color w:val="auto"/>
          <w:szCs w:val="20"/>
        </w:rPr>
      </w:pPr>
      <w:r w:rsidRPr="00A46B48">
        <w:rPr>
          <w:rFonts w:ascii="Calibri" w:eastAsia="Arial-BoldMT" w:hAnsi="Calibri" w:cs="Times New Roman"/>
          <w:color w:val="auto"/>
          <w:szCs w:val="20"/>
        </w:rPr>
        <w:t>omezování politického vlivu.</w:t>
      </w:r>
    </w:p>
    <w:p w14:paraId="03529398" w14:textId="0D26EAA9" w:rsidR="00510ABF" w:rsidRDefault="00510ABF" w:rsidP="00CE011D">
      <w:pPr>
        <w:overflowPunct w:val="0"/>
        <w:spacing w:before="120" w:after="120" w:line="360" w:lineRule="auto"/>
        <w:jc w:val="both"/>
        <w:textAlignment w:val="baseline"/>
        <w:rPr>
          <w:rFonts w:ascii="Arial-BoldMT" w:eastAsia="Arial-BoldMT" w:cs="Arial-BoldMT"/>
          <w:b/>
          <w:bCs/>
          <w:color w:val="2582C5"/>
          <w:sz w:val="28"/>
          <w:szCs w:val="28"/>
        </w:rPr>
      </w:pPr>
      <w:r>
        <w:t>VK/SI nastaví své postupy tak, aby v jednotlivých fázích projektového cyklu identifikoval, vyhodnocoval a</w:t>
      </w:r>
      <w:r w:rsidR="00BB2AB2">
        <w:t> </w:t>
      </w:r>
      <w:r>
        <w:t>aktivně řídil rizika výskytu podvodů, a to nejen na</w:t>
      </w:r>
      <w:r w:rsidR="000E4FCA">
        <w:t xml:space="preserve"> </w:t>
      </w:r>
      <w:r>
        <w:t>úrovni projektů či příjemců, ale také na úrovni programu. Toho lze dosáhnout zavedením příslušných indikátorů do analýzy rizik nebo zavedením otázek na identifikaci podvodů do jednotlivých kontrolních listů v rámci jednotlivých kontrol dle projektového cyklu. Konkrétní nastavení vychází ze zhodnocení skutečného výskytu podvodů; složitosti a počtu etap projektů; počtu, složitosti a druhu veřejných zakázek; počtu pracovníků operačního programu podílejících se na administraci projektu, zastupitelnosti, schvalovacích postupech apod. V případě zavedení indikátorů podvodů do analýzy rizik samotné vyhodnocení těchto indikátorů vede k naplánování příslušné kontroly v rámci plánu kontrol nebo k provedení ad-hoc kontroly. V případě průběžného vyhodnocování indikátorů podvodu mimo analýzu rizik může jejich identifikace vést k zesílenému sledování projektu, případně k provedení kontroly zaměřené na ověření těchto indikátorů. Detekce indikátorů podvodu dle nastavených vnitřních pravidel by měla vést k</w:t>
      </w:r>
      <w:r w:rsidR="00720F15">
        <w:t> </w:t>
      </w:r>
      <w:r>
        <w:t xml:space="preserve">prioritně prováděným kontrolám. VK/SI pravidelně vyhodnocuje své zavedené postupy s ohledem na identifikované indikátory a výsledky kontrol a na tomto základě aktualizuje své postupy tak, aby vedly k efektivnímu odhalování podvodů. Doporučuje se, aby VK kategorizoval indikátory podvodů podle závažnosti a stanovil si vlastní hodnoty indikátorů, při kterých povinně bude zahájena kontrola nebo budou přijaty adekvátní postupy na eliminaci rizika nezpůsobilosti výdajů.  </w:t>
      </w:r>
      <w:r>
        <w:rPr>
          <w:rFonts w:ascii="Arial-BoldMT" w:eastAsia="Arial-BoldMT" w:cs="Arial-BoldMT"/>
          <w:b/>
          <w:bCs/>
          <w:color w:val="2582C5"/>
          <w:sz w:val="28"/>
          <w:szCs w:val="28"/>
        </w:rPr>
        <w:t xml:space="preserve"> </w:t>
      </w:r>
    </w:p>
    <w:p w14:paraId="11F4D735" w14:textId="7DE69A71" w:rsidR="00510ABF" w:rsidRDefault="00510ABF" w:rsidP="00510ABF">
      <w:pPr>
        <w:overflowPunct w:val="0"/>
        <w:spacing w:before="120" w:after="120" w:line="360" w:lineRule="auto"/>
        <w:jc w:val="both"/>
        <w:textAlignment w:val="baseline"/>
      </w:pPr>
      <w:r>
        <w:t>Evropská komise jako další preventivní prostředek poskytuje ARACHNE</w:t>
      </w:r>
      <w:r w:rsidR="007F0D15">
        <w:t>/ARACHNE+</w:t>
      </w:r>
      <w:r>
        <w:t>, který pomáhá identifikovat rizikové operace, příjemce nebo dodavatele, a může tak odhalit rizikové situace ještě předtím, než dojde k poskytnutí dotace a dále v průběhu celého životního cyklu operace.</w:t>
      </w:r>
    </w:p>
    <w:p w14:paraId="78F0CD71" w14:textId="42B5D536" w:rsidR="00510ABF" w:rsidRPr="00A46B48" w:rsidRDefault="00510ABF" w:rsidP="00510ABF">
      <w:pPr>
        <w:overflowPunct w:val="0"/>
        <w:spacing w:before="120" w:after="120" w:line="360" w:lineRule="auto"/>
        <w:jc w:val="both"/>
        <w:textAlignment w:val="baseline"/>
        <w:rPr>
          <w:rFonts w:ascii="Calibri" w:hAnsi="Calibri" w:cs="Times New Roman"/>
          <w:color w:val="auto"/>
          <w:szCs w:val="20"/>
          <w:lang w:eastAsia="cs-CZ"/>
        </w:rPr>
      </w:pPr>
      <w:r>
        <w:t>ARACHNE</w:t>
      </w:r>
      <w:r w:rsidR="007F0D15">
        <w:t>/ARACHNE+</w:t>
      </w:r>
      <w:r>
        <w:t xml:space="preserve"> zvyšuje efektivitu výběru operace, řídicí kontroly a dále posiluje identifikaci podvodu a jeho odhalení. ARACHNE</w:t>
      </w:r>
      <w:r w:rsidR="007F0D15">
        <w:t>/ARACHNE+</w:t>
      </w:r>
      <w:r>
        <w:t xml:space="preserve"> může být využit jako dílčí vstup do analýzy rizik.  </w:t>
      </w:r>
      <w:r w:rsidRPr="00A46B48">
        <w:rPr>
          <w:rFonts w:ascii="Calibri" w:hAnsi="Calibri" w:cs="Times New Roman"/>
          <w:color w:val="auto"/>
          <w:szCs w:val="20"/>
          <w:lang w:eastAsia="cs-CZ"/>
        </w:rPr>
        <w:t>V příloze 1 jsou uvedeny indikátory podvodu ve formě kontrolních otázek. Tento seznam je pouze indikativní a VK jej využije dle svého uvážení, případně může použít jakýkoliv jiný seznam indikátorů podvodu, který odpovídá jeho potřebám.</w:t>
      </w:r>
    </w:p>
    <w:p w14:paraId="490659F1" w14:textId="2D9B361C" w:rsidR="00510ABF" w:rsidRDefault="00510ABF" w:rsidP="00510ABF">
      <w:pPr>
        <w:overflowPunct w:val="0"/>
        <w:spacing w:before="120" w:after="120" w:line="360" w:lineRule="auto"/>
        <w:jc w:val="both"/>
        <w:textAlignment w:val="baseline"/>
      </w:pPr>
      <w:r>
        <w:lastRenderedPageBreak/>
        <w:t>VK pravidelně hodnotí účinnost svých kontrolních mechanismů. Může k tomu využít také různé formy a</w:t>
      </w:r>
      <w:r w:rsidR="00BB2AB2">
        <w:t> </w:t>
      </w:r>
      <w:r>
        <w:t xml:space="preserve">nástroje sebehodnocení. Za účelem hodnocení dopadu a pravděpodobnosti jakéhokoliv potenciálního rizika podvodu, který by mohl poškodit finanční zájmy EU, Evropská Komise poskytla nástroj na sebehodnocení pro kohezní programy. Prostřednictvím nástroje </w:t>
      </w:r>
      <w:r w:rsidR="00EA284C">
        <w:t>je</w:t>
      </w:r>
      <w:r>
        <w:t xml:space="preserve"> hodn</w:t>
      </w:r>
      <w:r w:rsidR="00EA284C">
        <w:t>ocen</w:t>
      </w:r>
      <w:r>
        <w:t xml:space="preserve"> dopad a pravděpodobnost výskytu běžných druhů rizik. Nástroj také naznačuje, jaké dodatečné kontroly lze přijmout, aby došlo k</w:t>
      </w:r>
      <w:r w:rsidR="00BB2AB2">
        <w:t> </w:t>
      </w:r>
      <w:r>
        <w:t>dalšímu snížení výskytu rizika v případě, že již existující kontroly nejsou dostatečné.</w:t>
      </w:r>
    </w:p>
    <w:p w14:paraId="13B54FFD" w14:textId="77777777" w:rsidR="00510ABF" w:rsidRDefault="00510ABF" w:rsidP="00510ABF">
      <w:pPr>
        <w:overflowPunct w:val="0"/>
        <w:spacing w:before="120" w:after="120" w:line="360" w:lineRule="auto"/>
        <w:jc w:val="both"/>
        <w:textAlignment w:val="baseline"/>
      </w:pPr>
      <w:r>
        <w:t>Nástroj na sebehodnocení je praktickou pomůckou a je založen na 5 hlavních krocích:</w:t>
      </w:r>
    </w:p>
    <w:p w14:paraId="2DCA63CB" w14:textId="3677AA9C" w:rsidR="00510ABF" w:rsidRPr="00BD2BA8" w:rsidRDefault="00510ABF" w:rsidP="00510ABF">
      <w:pPr>
        <w:pStyle w:val="Odstavecseseznamem"/>
        <w:numPr>
          <w:ilvl w:val="0"/>
          <w:numId w:val="47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</w:pPr>
      <w:r w:rsidRPr="00BD2BA8">
        <w:t>Kvantifikace rizika, že se daný typ podvodu vyskytne, a to na základě hodnocení dopadu</w:t>
      </w:r>
      <w:r>
        <w:t xml:space="preserve"> </w:t>
      </w:r>
      <w:r w:rsidRPr="00BD2BA8">
        <w:t>a</w:t>
      </w:r>
      <w:r w:rsidR="00BB2AB2">
        <w:t> </w:t>
      </w:r>
      <w:r w:rsidRPr="00BD2BA8">
        <w:t>pravděpodobnosti (hrubé riziko).</w:t>
      </w:r>
    </w:p>
    <w:p w14:paraId="48633624" w14:textId="77777777" w:rsidR="00510ABF" w:rsidRPr="00BD2BA8" w:rsidRDefault="00510ABF" w:rsidP="00510ABF">
      <w:pPr>
        <w:pStyle w:val="Odstavecseseznamem"/>
        <w:numPr>
          <w:ilvl w:val="0"/>
          <w:numId w:val="47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</w:pPr>
      <w:r w:rsidRPr="00BD2BA8">
        <w:t>Hodnocení efektivnosti existujících kontrol zmírňujících hrubé riziko.</w:t>
      </w:r>
    </w:p>
    <w:p w14:paraId="2120E34A" w14:textId="77777777" w:rsidR="00510ABF" w:rsidRPr="00FF1A96" w:rsidRDefault="00510ABF" w:rsidP="00510ABF">
      <w:pPr>
        <w:pStyle w:val="Odstavecseseznamem"/>
        <w:numPr>
          <w:ilvl w:val="0"/>
          <w:numId w:val="47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</w:pPr>
      <w:r w:rsidRPr="00BD2BA8">
        <w:t>Hodnocení rizika po zohlednění účinku existujících kontrol a jejich efektivnosti (čisté</w:t>
      </w:r>
      <w:r>
        <w:t xml:space="preserve"> r</w:t>
      </w:r>
      <w:r w:rsidRPr="00FF1A96">
        <w:t>iziko).</w:t>
      </w:r>
    </w:p>
    <w:p w14:paraId="05BC4A0E" w14:textId="77777777" w:rsidR="00510ABF" w:rsidRPr="00BD2BA8" w:rsidRDefault="00510ABF" w:rsidP="00510ABF">
      <w:pPr>
        <w:pStyle w:val="Odstavecseseznamem"/>
        <w:numPr>
          <w:ilvl w:val="0"/>
          <w:numId w:val="47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</w:pPr>
      <w:r w:rsidRPr="00BD2BA8">
        <w:t>Hodnocení účinku plánovaných dodatkových kontrol na snížení čistého rizik.</w:t>
      </w:r>
    </w:p>
    <w:p w14:paraId="2371A918" w14:textId="27D905BB" w:rsidR="00510ABF" w:rsidRPr="00BD2BA8" w:rsidRDefault="00510ABF" w:rsidP="00510ABF">
      <w:pPr>
        <w:pStyle w:val="Odstavecseseznamem"/>
        <w:numPr>
          <w:ilvl w:val="0"/>
          <w:numId w:val="47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</w:pPr>
      <w:r w:rsidRPr="00BD2BA8">
        <w:t xml:space="preserve">Definování cílového rizika, tj. úrovně rizika, kterou </w:t>
      </w:r>
      <w:r>
        <w:t>poskytovatel dotace</w:t>
      </w:r>
      <w:r w:rsidRPr="00BD2BA8">
        <w:t xml:space="preserve"> považuje za tolerovatelnou</w:t>
      </w:r>
      <w:r>
        <w:t xml:space="preserve"> </w:t>
      </w:r>
      <w:r w:rsidRPr="00BD2BA8">
        <w:t>s</w:t>
      </w:r>
      <w:r w:rsidR="00BB2AB2">
        <w:t> </w:t>
      </w:r>
      <w:r w:rsidRPr="00BD2BA8">
        <w:t>ohledem na zavedené kontroly a jejich efektivnost.</w:t>
      </w:r>
    </w:p>
    <w:p w14:paraId="5A70C56D" w14:textId="77777777" w:rsidR="00510ABF" w:rsidRDefault="00510ABF" w:rsidP="00510ABF">
      <w:pPr>
        <w:overflowPunct w:val="0"/>
        <w:spacing w:before="120" w:after="120" w:line="360" w:lineRule="auto"/>
        <w:jc w:val="both"/>
        <w:textAlignment w:val="baseline"/>
      </w:pPr>
      <w:r>
        <w:t>Oblasti, které jsou nejvíc vystaveny riziku, jsou:</w:t>
      </w:r>
    </w:p>
    <w:p w14:paraId="3352B9EB" w14:textId="77777777" w:rsidR="00510ABF" w:rsidRPr="00BD2BA8" w:rsidRDefault="00510ABF" w:rsidP="00510ABF">
      <w:pPr>
        <w:pStyle w:val="Odstavecseseznamem"/>
        <w:numPr>
          <w:ilvl w:val="0"/>
          <w:numId w:val="48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</w:pPr>
      <w:r w:rsidRPr="00BD2BA8">
        <w:t>výběr příjemce finanční podpory,</w:t>
      </w:r>
    </w:p>
    <w:p w14:paraId="07B3459D" w14:textId="77777777" w:rsidR="00510ABF" w:rsidRPr="00BD2BA8" w:rsidRDefault="00510ABF" w:rsidP="00510ABF">
      <w:pPr>
        <w:pStyle w:val="Odstavecseseznamem"/>
        <w:numPr>
          <w:ilvl w:val="0"/>
          <w:numId w:val="48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</w:pPr>
      <w:r w:rsidRPr="00BD2BA8">
        <w:t>implementace a ověření operací,</w:t>
      </w:r>
    </w:p>
    <w:p w14:paraId="03825854" w14:textId="77777777" w:rsidR="00510ABF" w:rsidRPr="00BD2BA8" w:rsidRDefault="00510ABF" w:rsidP="00510ABF">
      <w:pPr>
        <w:pStyle w:val="Odstavecseseznamem"/>
        <w:numPr>
          <w:ilvl w:val="0"/>
          <w:numId w:val="48"/>
        </w:numPr>
        <w:overflowPunct w:val="0"/>
        <w:autoSpaceDE w:val="0"/>
        <w:autoSpaceDN w:val="0"/>
        <w:adjustRightInd w:val="0"/>
        <w:spacing w:before="120" w:after="120" w:line="360" w:lineRule="auto"/>
        <w:jc w:val="both"/>
        <w:textAlignment w:val="baseline"/>
      </w:pPr>
      <w:r w:rsidRPr="00BD2BA8">
        <w:t>veřejné zakázky.</w:t>
      </w:r>
    </w:p>
    <w:p w14:paraId="089C55F3" w14:textId="709A1262" w:rsidR="00B60B5D" w:rsidRDefault="00510ABF" w:rsidP="00B60B5D">
      <w:pPr>
        <w:spacing w:line="360" w:lineRule="auto"/>
        <w:ind w:left="66"/>
        <w:jc w:val="both"/>
      </w:pPr>
      <w:r>
        <w:t>Nástroj se primárně zabývá riziky výskytu podvodů, nicméně jeho uplatňování může mít nepřímo příznivý dopad i na prevenci a odhalování nesrovnalostí (které jsou chápány jako širší kategorie, než je podvod).</w:t>
      </w:r>
    </w:p>
    <w:p w14:paraId="4846A951" w14:textId="0A944812" w:rsidR="00DB692D" w:rsidRPr="00C56A65" w:rsidRDefault="00DB692D" w:rsidP="00B60B5D">
      <w:pPr>
        <w:spacing w:line="360" w:lineRule="auto"/>
        <w:ind w:left="66"/>
        <w:jc w:val="both"/>
        <w:rPr>
          <w:b/>
          <w:bCs/>
          <w:sz w:val="24"/>
          <w:szCs w:val="24"/>
        </w:rPr>
      </w:pPr>
      <w:r w:rsidRPr="00C56A65">
        <w:rPr>
          <w:b/>
          <w:bCs/>
          <w:sz w:val="24"/>
          <w:szCs w:val="24"/>
        </w:rPr>
        <w:t>2.1.1 Řízení rizik podvodu</w:t>
      </w:r>
    </w:p>
    <w:p w14:paraId="5F076403" w14:textId="77777777" w:rsidR="00DB692D" w:rsidRPr="00942834" w:rsidRDefault="00DB692D" w:rsidP="00F9172C">
      <w:pPr>
        <w:spacing w:after="0" w:line="360" w:lineRule="auto"/>
        <w:jc w:val="both"/>
      </w:pPr>
      <w:r w:rsidRPr="00942834">
        <w:t>Hlavní charakteristikou rizika podvodu je úmyslná aplikace takových postupů, které vedou k podezření z podvodu nebo přímo samotnému podvodu. Tyto typy rizik mohou být identifikována jak na interní úrovni (DU/VK/SI) tak i na externí úrovni (VK/SI/příjemci podpory). </w:t>
      </w:r>
    </w:p>
    <w:p w14:paraId="39949F0E" w14:textId="77777777" w:rsidR="00DB692D" w:rsidRPr="00942834" w:rsidRDefault="00DB692D" w:rsidP="00F9172C">
      <w:pPr>
        <w:spacing w:after="0" w:line="360" w:lineRule="auto"/>
        <w:jc w:val="both"/>
      </w:pPr>
      <w:r w:rsidRPr="00942834">
        <w:t>Existují tři základní typy podvodů, podle oblastí výskytu: </w:t>
      </w:r>
    </w:p>
    <w:p w14:paraId="15A6BF5E" w14:textId="77777777" w:rsidR="00DB692D" w:rsidRPr="00942834" w:rsidRDefault="00DB692D" w:rsidP="0015511F">
      <w:pPr>
        <w:numPr>
          <w:ilvl w:val="0"/>
          <w:numId w:val="56"/>
        </w:numPr>
        <w:spacing w:after="0" w:line="360" w:lineRule="auto"/>
        <w:ind w:left="360" w:firstLine="0"/>
        <w:jc w:val="both"/>
        <w:textAlignment w:val="baseline"/>
      </w:pPr>
      <w:r w:rsidRPr="00942834">
        <w:t>úmyslná manipulace s finančními výkazy (např. nepravdivé údaje ve výkazech); </w:t>
      </w:r>
    </w:p>
    <w:p w14:paraId="3908467A" w14:textId="77777777" w:rsidR="00DB692D" w:rsidRPr="00942834" w:rsidRDefault="00DB692D" w:rsidP="00F9172C">
      <w:pPr>
        <w:numPr>
          <w:ilvl w:val="0"/>
          <w:numId w:val="56"/>
        </w:numPr>
        <w:spacing w:after="0" w:line="360" w:lineRule="auto"/>
        <w:ind w:left="360" w:firstLine="0"/>
        <w:jc w:val="both"/>
        <w:textAlignment w:val="baseline"/>
      </w:pPr>
      <w:r w:rsidRPr="00942834">
        <w:t>zneužití hmotného nebo nehmotného majetku (např. podvodné úhrady plateb); </w:t>
      </w:r>
    </w:p>
    <w:p w14:paraId="0D847B2F" w14:textId="77777777" w:rsidR="00DB692D" w:rsidRPr="00942834" w:rsidRDefault="00DB692D" w:rsidP="00F9172C">
      <w:pPr>
        <w:numPr>
          <w:ilvl w:val="0"/>
          <w:numId w:val="57"/>
        </w:numPr>
        <w:spacing w:after="0" w:line="360" w:lineRule="auto"/>
        <w:ind w:left="360" w:firstLine="0"/>
        <w:jc w:val="both"/>
        <w:textAlignment w:val="baseline"/>
      </w:pPr>
      <w:r w:rsidRPr="00942834">
        <w:t>korupce (např. střet zájmů, zpronevěra atd.). </w:t>
      </w:r>
    </w:p>
    <w:p w14:paraId="2E766AC7" w14:textId="77777777" w:rsidR="00DB692D" w:rsidRDefault="00DB692D" w:rsidP="00F9172C">
      <w:pPr>
        <w:spacing w:after="0" w:line="360" w:lineRule="auto"/>
        <w:ind w:left="360"/>
        <w:jc w:val="both"/>
        <w:rPr>
          <w:rFonts w:cs="Calibri"/>
        </w:rPr>
      </w:pPr>
    </w:p>
    <w:p w14:paraId="0FEB30AF" w14:textId="3525810A" w:rsidR="00DB692D" w:rsidRPr="00942834" w:rsidRDefault="00DB692D" w:rsidP="00F9172C">
      <w:pPr>
        <w:spacing w:after="0" w:line="360" w:lineRule="auto"/>
        <w:jc w:val="both"/>
      </w:pPr>
      <w:r w:rsidRPr="00942834">
        <w:t xml:space="preserve">Existují varovné signály, tzv. </w:t>
      </w:r>
      <w:r w:rsidR="00551168" w:rsidRPr="00942834">
        <w:t>RED FLAGS</w:t>
      </w:r>
      <w:r w:rsidRPr="00942834">
        <w:t xml:space="preserve">, které dokáží identifikovat podvodnou činnost a aktivovat tak kontrolní systém tak, aby situaci ověřil a případně spustil další nutná opatření pro snížení/eliminaci tohoto rizika.  Řízení rizik je tedy nepřetržitá, systematická a plánovaná analytická činnost, která je organizovaná nejen na úrovni vedoucích pracovníků v rámci vnitřního kontrolního systému, ale všech zainteresovaných </w:t>
      </w:r>
      <w:r w:rsidRPr="00942834">
        <w:lastRenderedPageBreak/>
        <w:t>pracovníků. Na základě zapojení všech zainteresovaných stran je DU/VK/SI schopen včas a efektivně odhalovat, identifikovat, hodnotit a snižovat/eliminovat existující nebo vznikající rizika v souvislosti s plněním stanovených cílů.  </w:t>
      </w:r>
    </w:p>
    <w:p w14:paraId="4CB75BA0" w14:textId="77777777" w:rsidR="00DB692D" w:rsidRDefault="00DB692D" w:rsidP="00F9172C">
      <w:pPr>
        <w:spacing w:after="0" w:line="360" w:lineRule="auto"/>
        <w:jc w:val="both"/>
        <w:rPr>
          <w:rFonts w:ascii="Segoe UI" w:hAnsi="Segoe UI" w:cs="Segoe UI"/>
          <w:sz w:val="18"/>
          <w:szCs w:val="18"/>
        </w:rPr>
      </w:pPr>
    </w:p>
    <w:p w14:paraId="3142EFDA" w14:textId="77777777" w:rsidR="00DB692D" w:rsidRPr="00942834" w:rsidRDefault="00DB692D" w:rsidP="00F9172C">
      <w:pPr>
        <w:spacing w:after="0" w:line="360" w:lineRule="auto"/>
        <w:jc w:val="both"/>
      </w:pPr>
      <w:r w:rsidRPr="00942834">
        <w:t>Klíčovými prvky řízení rizik podvodů jsou: </w:t>
      </w:r>
    </w:p>
    <w:p w14:paraId="6FF85928" w14:textId="77777777" w:rsidR="00DB692D" w:rsidRPr="00942834" w:rsidRDefault="00DB692D" w:rsidP="0015511F">
      <w:pPr>
        <w:numPr>
          <w:ilvl w:val="0"/>
          <w:numId w:val="58"/>
        </w:numPr>
        <w:spacing w:after="0" w:line="360" w:lineRule="auto"/>
        <w:ind w:left="360" w:firstLine="0"/>
        <w:jc w:val="both"/>
        <w:textAlignment w:val="baseline"/>
      </w:pPr>
      <w:r w:rsidRPr="00942834">
        <w:t>vhodné a srozumitelné formulování metodik pro řízení rizik; </w:t>
      </w:r>
    </w:p>
    <w:p w14:paraId="25814101" w14:textId="143AE604" w:rsidR="00DB692D" w:rsidRPr="00942834" w:rsidRDefault="00DB692D" w:rsidP="00F9172C">
      <w:pPr>
        <w:numPr>
          <w:ilvl w:val="0"/>
          <w:numId w:val="58"/>
        </w:numPr>
        <w:spacing w:after="0" w:line="360" w:lineRule="auto"/>
        <w:ind w:left="360" w:firstLine="0"/>
        <w:jc w:val="both"/>
        <w:textAlignment w:val="baseline"/>
      </w:pPr>
      <w:r w:rsidRPr="00942834">
        <w:t xml:space="preserve">vytvoření podmínek pro permanentní diskusi a výměnu informací mezi </w:t>
      </w:r>
      <w:r w:rsidR="00551168" w:rsidRPr="00942834">
        <w:t>MPO-</w:t>
      </w:r>
      <w:r w:rsidRPr="00942834">
        <w:t>DU, VK a SI; </w:t>
      </w:r>
    </w:p>
    <w:p w14:paraId="6AA7855F" w14:textId="77777777" w:rsidR="00DB692D" w:rsidRDefault="00DB692D" w:rsidP="00F9172C">
      <w:pPr>
        <w:numPr>
          <w:ilvl w:val="0"/>
          <w:numId w:val="59"/>
        </w:numPr>
        <w:spacing w:after="0" w:line="360" w:lineRule="auto"/>
        <w:ind w:left="360" w:firstLine="0"/>
        <w:jc w:val="both"/>
        <w:textAlignment w:val="baseline"/>
        <w:rPr>
          <w:rFonts w:cs="Calibri"/>
        </w:rPr>
      </w:pPr>
      <w:r w:rsidRPr="00942834">
        <w:t> jasné definování vlastníka (tj. garanta) rizika, které zajistí odpovědnost za proces řízení daného rizika; </w:t>
      </w:r>
    </w:p>
    <w:p w14:paraId="37B48EB0" w14:textId="77777777" w:rsidR="00DB692D" w:rsidRPr="00942834" w:rsidRDefault="00DB692D" w:rsidP="00F9172C">
      <w:pPr>
        <w:numPr>
          <w:ilvl w:val="0"/>
          <w:numId w:val="59"/>
        </w:numPr>
        <w:spacing w:after="0" w:line="360" w:lineRule="auto"/>
        <w:ind w:left="360" w:firstLine="0"/>
        <w:jc w:val="both"/>
        <w:textAlignment w:val="baseline"/>
      </w:pPr>
      <w:r w:rsidRPr="00942834">
        <w:t>přijetí adekvátních postupů a opatření pro sledování rizik a jejich hodnocení; </w:t>
      </w:r>
    </w:p>
    <w:p w14:paraId="24D2D579" w14:textId="77777777" w:rsidR="00DB692D" w:rsidRPr="00942834" w:rsidRDefault="00DB692D" w:rsidP="00F9172C">
      <w:pPr>
        <w:numPr>
          <w:ilvl w:val="0"/>
          <w:numId w:val="59"/>
        </w:numPr>
        <w:spacing w:after="0" w:line="360" w:lineRule="auto"/>
        <w:ind w:left="360" w:firstLine="0"/>
        <w:jc w:val="both"/>
        <w:textAlignment w:val="baseline"/>
      </w:pPr>
      <w:r w:rsidRPr="00942834">
        <w:t>vytvoření přiměřeného mechanismu tak, aby do procesu řízení rizik byly zapojeni vhodní pracovníci (odpovědní pracovníci za řízení rizik, kteří alespoň 1x ročně absolvovali školení z oblasti řízení rizik); </w:t>
      </w:r>
    </w:p>
    <w:p w14:paraId="47544D23" w14:textId="77777777" w:rsidR="00DB692D" w:rsidRPr="00942834" w:rsidRDefault="00DB692D" w:rsidP="00F9172C">
      <w:pPr>
        <w:numPr>
          <w:ilvl w:val="0"/>
          <w:numId w:val="59"/>
        </w:numPr>
        <w:spacing w:after="0" w:line="360" w:lineRule="auto"/>
        <w:ind w:left="360" w:firstLine="0"/>
        <w:jc w:val="both"/>
        <w:textAlignment w:val="baseline"/>
      </w:pPr>
      <w:r w:rsidRPr="00942834">
        <w:t>aktivní zapojení zaměstnanců při procesu identifikace rizik. </w:t>
      </w:r>
    </w:p>
    <w:p w14:paraId="08200AD0" w14:textId="77777777" w:rsidR="00DB692D" w:rsidRPr="00942834" w:rsidRDefault="00DB692D" w:rsidP="00F9172C">
      <w:pPr>
        <w:spacing w:after="0" w:line="360" w:lineRule="auto"/>
        <w:jc w:val="both"/>
      </w:pPr>
      <w:r w:rsidRPr="00942834">
        <w:t>Při aktivním řízení procesu rizik, a to nejen v oblasti podvodů lze následně identifikovat zlepšení v níže uvedených oblastech: </w:t>
      </w:r>
    </w:p>
    <w:p w14:paraId="504B91E5" w14:textId="77777777" w:rsidR="00DB692D" w:rsidRPr="00942834" w:rsidRDefault="00DB692D" w:rsidP="0015511F">
      <w:pPr>
        <w:numPr>
          <w:ilvl w:val="0"/>
          <w:numId w:val="60"/>
        </w:numPr>
        <w:spacing w:after="0" w:line="360" w:lineRule="auto"/>
        <w:ind w:left="360" w:firstLine="0"/>
        <w:jc w:val="both"/>
        <w:textAlignment w:val="baseline"/>
      </w:pPr>
      <w:r w:rsidRPr="00942834">
        <w:t>zkvalitnění rozhodování na všech stupních řízení; </w:t>
      </w:r>
    </w:p>
    <w:p w14:paraId="7E28F134" w14:textId="77777777" w:rsidR="00DB692D" w:rsidRPr="00942834" w:rsidRDefault="00DB692D" w:rsidP="00F9172C">
      <w:pPr>
        <w:numPr>
          <w:ilvl w:val="0"/>
          <w:numId w:val="60"/>
        </w:numPr>
        <w:spacing w:after="0" w:line="360" w:lineRule="auto"/>
        <w:ind w:left="360" w:firstLine="0"/>
        <w:jc w:val="both"/>
        <w:textAlignment w:val="baseline"/>
      </w:pPr>
      <w:r w:rsidRPr="00942834">
        <w:t>aktivního vytváření prostředí informovanosti o rizicích v jednotlivých procesech; </w:t>
      </w:r>
    </w:p>
    <w:p w14:paraId="03BA5121" w14:textId="77777777" w:rsidR="00DB692D" w:rsidRPr="00942834" w:rsidRDefault="00DB692D" w:rsidP="00F9172C">
      <w:pPr>
        <w:numPr>
          <w:ilvl w:val="0"/>
          <w:numId w:val="60"/>
        </w:numPr>
        <w:spacing w:after="0" w:line="360" w:lineRule="auto"/>
        <w:ind w:left="360" w:firstLine="0"/>
        <w:jc w:val="both"/>
        <w:textAlignment w:val="baseline"/>
      </w:pPr>
      <w:r w:rsidRPr="00942834">
        <w:t>posilování rentability zlepšení postupů při řízení rizik a snížení nákladů na dopady způsobené riziky; </w:t>
      </w:r>
    </w:p>
    <w:p w14:paraId="1DC70E92" w14:textId="77777777" w:rsidR="00DB692D" w:rsidRPr="00942834" w:rsidRDefault="00DB692D" w:rsidP="00F9172C">
      <w:pPr>
        <w:numPr>
          <w:ilvl w:val="0"/>
          <w:numId w:val="60"/>
        </w:numPr>
        <w:spacing w:after="0" w:line="360" w:lineRule="auto"/>
        <w:ind w:left="360" w:firstLine="0"/>
        <w:jc w:val="both"/>
        <w:textAlignment w:val="baseline"/>
      </w:pPr>
      <w:r w:rsidRPr="00942834">
        <w:t>určení odpovědnosti za riziko a tím definování osoby odpovědné za vědomé řízení rizika; </w:t>
      </w:r>
    </w:p>
    <w:p w14:paraId="7886B7A0" w14:textId="77777777" w:rsidR="00DB692D" w:rsidRDefault="00DB692D" w:rsidP="00F9172C">
      <w:pPr>
        <w:numPr>
          <w:ilvl w:val="0"/>
          <w:numId w:val="60"/>
        </w:numPr>
        <w:spacing w:after="0" w:line="360" w:lineRule="auto"/>
        <w:ind w:left="360" w:firstLine="0"/>
        <w:jc w:val="both"/>
        <w:textAlignment w:val="baseline"/>
        <w:rPr>
          <w:rFonts w:cs="Calibri"/>
        </w:rPr>
      </w:pPr>
      <w:r w:rsidRPr="00942834">
        <w:t>jasné definování rizik napomáhá šíření informovanosti na úrovni nejvyššího vedení a definování postupů pro jejich řízení. </w:t>
      </w:r>
      <w:r>
        <w:rPr>
          <w:rFonts w:cs="Calibri"/>
          <w:color w:val="8764B8"/>
        </w:rPr>
        <w:t> </w:t>
      </w:r>
    </w:p>
    <w:p w14:paraId="633F64FE" w14:textId="77777777" w:rsidR="00DB692D" w:rsidRDefault="00DB692D" w:rsidP="006E7236">
      <w:pPr>
        <w:spacing w:after="0" w:line="360" w:lineRule="auto"/>
        <w:ind w:left="360"/>
        <w:jc w:val="both"/>
        <w:rPr>
          <w:rFonts w:cs="Calibri"/>
        </w:rPr>
      </w:pPr>
    </w:p>
    <w:p w14:paraId="12124575" w14:textId="77777777" w:rsidR="00DB692D" w:rsidRPr="00942834" w:rsidRDefault="00DB692D" w:rsidP="006E7236">
      <w:pPr>
        <w:spacing w:after="0" w:line="360" w:lineRule="auto"/>
        <w:jc w:val="both"/>
      </w:pPr>
      <w:r w:rsidRPr="00942834">
        <w:t>Riziko podvodu lze tedy vnímat jako negativní událost, které může svým negativním působením vést k nesplnění nebo k částečnému nesplnění cíle NPO a tím může ovlivnit schopnost dosáhnout naplnění NPO ve všech stanovených oblastech.  </w:t>
      </w:r>
    </w:p>
    <w:p w14:paraId="61FF6388" w14:textId="77777777" w:rsidR="00DB692D" w:rsidRDefault="00DB692D" w:rsidP="006E7236">
      <w:pPr>
        <w:spacing w:after="0" w:line="360" w:lineRule="auto"/>
        <w:jc w:val="both"/>
        <w:rPr>
          <w:rFonts w:ascii="Segoe UI" w:hAnsi="Segoe UI" w:cs="Segoe UI"/>
          <w:sz w:val="18"/>
          <w:szCs w:val="18"/>
        </w:rPr>
      </w:pPr>
    </w:p>
    <w:p w14:paraId="1D9A43EE" w14:textId="3F3AA509" w:rsidR="00DB692D" w:rsidRPr="00942834" w:rsidRDefault="00DB692D" w:rsidP="006E7236">
      <w:pPr>
        <w:spacing w:after="0" w:line="360" w:lineRule="auto"/>
        <w:jc w:val="both"/>
      </w:pPr>
      <w:r w:rsidRPr="00942834">
        <w:t>Disponibilními zdroji informací pro identifikaci oblastí, kde mohou vzniknout rizika podvodu</w:t>
      </w:r>
      <w:r w:rsidR="00E47FEA">
        <w:t>,</w:t>
      </w:r>
      <w:r w:rsidRPr="00942834">
        <w:t xml:space="preserve"> jsou zkušenosti z předchozích období čerpání strukturálních fondů, brainstorming, nedostatky identifikované interními/externími kontrolami/audity, podněty, média atd.  </w:t>
      </w:r>
    </w:p>
    <w:p w14:paraId="422CCE0A" w14:textId="77777777" w:rsidR="00DB692D" w:rsidRPr="00942834" w:rsidRDefault="00DB692D" w:rsidP="006E7236">
      <w:pPr>
        <w:spacing w:after="0" w:line="360" w:lineRule="auto"/>
        <w:jc w:val="both"/>
      </w:pPr>
    </w:p>
    <w:p w14:paraId="4BE92189" w14:textId="77777777" w:rsidR="00DB692D" w:rsidRPr="00942834" w:rsidRDefault="00DB692D" w:rsidP="006E7236">
      <w:pPr>
        <w:spacing w:after="0" w:line="360" w:lineRule="auto"/>
        <w:jc w:val="both"/>
      </w:pPr>
      <w:r w:rsidRPr="00942834">
        <w:t>V rámci identifikace podvodů v souvislosti s náklady je potřeba identifikovat případně tyto postupy, které by identifikovali riziko podvodu: </w:t>
      </w:r>
    </w:p>
    <w:p w14:paraId="49B85EAF" w14:textId="77777777" w:rsidR="00DB692D" w:rsidRPr="00942834" w:rsidRDefault="00DB692D" w:rsidP="0015511F">
      <w:pPr>
        <w:numPr>
          <w:ilvl w:val="0"/>
          <w:numId w:val="61"/>
        </w:numPr>
        <w:spacing w:after="0" w:line="360" w:lineRule="auto"/>
        <w:ind w:left="465" w:firstLine="0"/>
        <w:jc w:val="both"/>
        <w:textAlignment w:val="baseline"/>
      </w:pPr>
      <w:r w:rsidRPr="00942834">
        <w:t>použití nebo předkládání nepravých, nesprávných nebo neúplných výkazů/dokumentů, které mají za následek odcizení nebo protiprávní zadržení finančních prostředků NPO; </w:t>
      </w:r>
    </w:p>
    <w:p w14:paraId="41153837" w14:textId="77777777" w:rsidR="00DB692D" w:rsidRPr="00942834" w:rsidRDefault="00DB692D" w:rsidP="00F9172C">
      <w:pPr>
        <w:numPr>
          <w:ilvl w:val="0"/>
          <w:numId w:val="61"/>
        </w:numPr>
        <w:spacing w:after="0" w:line="360" w:lineRule="auto"/>
        <w:ind w:left="465" w:firstLine="0"/>
        <w:jc w:val="both"/>
        <w:textAlignment w:val="baseline"/>
      </w:pPr>
      <w:r w:rsidRPr="00942834">
        <w:t>nesprávné použití těchto finančních prostředků na jiné účely, než pro které byly původně určené; </w:t>
      </w:r>
    </w:p>
    <w:p w14:paraId="661A6B3F" w14:textId="77777777" w:rsidR="00DB692D" w:rsidRDefault="00DB692D" w:rsidP="00F9172C">
      <w:pPr>
        <w:spacing w:after="0" w:line="360" w:lineRule="auto"/>
        <w:jc w:val="both"/>
        <w:rPr>
          <w:rFonts w:cs="Calibri"/>
          <w:color w:val="8764B8"/>
          <w:u w:val="single"/>
        </w:rPr>
      </w:pPr>
    </w:p>
    <w:p w14:paraId="1E9144DA" w14:textId="77777777" w:rsidR="00DB692D" w:rsidRPr="00942834" w:rsidRDefault="00DB692D" w:rsidP="00F9172C">
      <w:pPr>
        <w:spacing w:after="0" w:line="360" w:lineRule="auto"/>
        <w:jc w:val="both"/>
      </w:pPr>
      <w:r w:rsidRPr="00942834">
        <w:lastRenderedPageBreak/>
        <w:t>V rámci identifikace podvodů v souvislosti s příjmy je potřeba identifikovat případně tyto postupy, které by identifikovali riziko podvodu: </w:t>
      </w:r>
    </w:p>
    <w:p w14:paraId="460B276D" w14:textId="77777777" w:rsidR="00DB692D" w:rsidRPr="00942834" w:rsidRDefault="00DB692D" w:rsidP="0015511F">
      <w:pPr>
        <w:numPr>
          <w:ilvl w:val="0"/>
          <w:numId w:val="62"/>
        </w:numPr>
        <w:spacing w:after="0" w:line="360" w:lineRule="auto"/>
        <w:ind w:left="360" w:firstLine="0"/>
        <w:jc w:val="both"/>
        <w:textAlignment w:val="baseline"/>
      </w:pPr>
      <w:r w:rsidRPr="00942834">
        <w:t>použití nebo předkládání nepravých, nesprávných nebo neúplných výkazů/dokumentů, které mají za následek nezákonný úbytek finančních prostředků NPO; </w:t>
      </w:r>
    </w:p>
    <w:p w14:paraId="34F45E55" w14:textId="77777777" w:rsidR="00DB692D" w:rsidRPr="00942834" w:rsidRDefault="00DB692D" w:rsidP="00F9172C">
      <w:pPr>
        <w:numPr>
          <w:ilvl w:val="0"/>
          <w:numId w:val="62"/>
        </w:numPr>
        <w:spacing w:after="0" w:line="360" w:lineRule="auto"/>
        <w:ind w:left="360" w:firstLine="0"/>
        <w:jc w:val="both"/>
        <w:textAlignment w:val="baseline"/>
      </w:pPr>
      <w:r w:rsidRPr="00942834">
        <w:t>nezveřejnění informací v rozporu s konkrétními povinnostmi; </w:t>
      </w:r>
    </w:p>
    <w:p w14:paraId="1DD3C5A3" w14:textId="77777777" w:rsidR="00DB692D" w:rsidRPr="00942834" w:rsidRDefault="00DB692D" w:rsidP="00F9172C">
      <w:pPr>
        <w:numPr>
          <w:ilvl w:val="0"/>
          <w:numId w:val="62"/>
        </w:numPr>
        <w:spacing w:after="0" w:line="360" w:lineRule="auto"/>
        <w:ind w:left="360" w:firstLine="0"/>
        <w:jc w:val="both"/>
        <w:textAlignment w:val="baseline"/>
      </w:pPr>
      <w:r w:rsidRPr="00942834">
        <w:t>nesprávné použití právoplatně nabytého zisku. </w:t>
      </w:r>
    </w:p>
    <w:p w14:paraId="6051C120" w14:textId="77777777" w:rsidR="00DB692D" w:rsidRDefault="00DB692D" w:rsidP="00F9172C">
      <w:pPr>
        <w:spacing w:after="0" w:line="360" w:lineRule="auto"/>
        <w:jc w:val="both"/>
        <w:rPr>
          <w:rFonts w:cs="Calibri"/>
          <w:color w:val="8764B8"/>
          <w:u w:val="single"/>
        </w:rPr>
      </w:pPr>
    </w:p>
    <w:p w14:paraId="3B6ACA55" w14:textId="47DA13ED" w:rsidR="00DB692D" w:rsidRPr="00942834" w:rsidRDefault="00DB692D" w:rsidP="00F9172C">
      <w:pPr>
        <w:spacing w:after="0" w:line="360" w:lineRule="auto"/>
        <w:jc w:val="both"/>
      </w:pPr>
      <w:r w:rsidRPr="00942834">
        <w:t>Podle tzv. Teorie trojúhelníku podvodu existují tři fakt</w:t>
      </w:r>
      <w:r w:rsidR="00F06F0D">
        <w:t>o</w:t>
      </w:r>
      <w:r w:rsidRPr="00942834">
        <w:t>ry pro páchání podvodů: </w:t>
      </w:r>
    </w:p>
    <w:p w14:paraId="0AE0F354" w14:textId="77777777" w:rsidR="00DB692D" w:rsidRPr="00942834" w:rsidRDefault="00DB692D" w:rsidP="0015511F">
      <w:pPr>
        <w:numPr>
          <w:ilvl w:val="0"/>
          <w:numId w:val="63"/>
        </w:numPr>
        <w:spacing w:after="0" w:line="360" w:lineRule="auto"/>
        <w:ind w:left="405" w:firstLine="0"/>
        <w:jc w:val="both"/>
        <w:textAlignment w:val="baseline"/>
      </w:pPr>
      <w:r w:rsidRPr="00942834">
        <w:t>příležitost pro spáchání podvodů (tj. osoba odpovědná za spáchání podvodu předpokládá, že podvod nebude odhalený); </w:t>
      </w:r>
    </w:p>
    <w:p w14:paraId="72E385D3" w14:textId="77777777" w:rsidR="00DB692D" w:rsidRPr="00942834" w:rsidRDefault="00DB692D" w:rsidP="0015511F">
      <w:pPr>
        <w:numPr>
          <w:ilvl w:val="0"/>
          <w:numId w:val="63"/>
        </w:numPr>
        <w:spacing w:after="0" w:line="360" w:lineRule="auto"/>
        <w:ind w:left="405" w:firstLine="0"/>
        <w:jc w:val="both"/>
        <w:textAlignment w:val="baseline"/>
      </w:pPr>
      <w:r w:rsidRPr="00942834">
        <w:t>motiv/tlak (tj. nejčastější příčinou páchání podvodu je časová tíseň); </w:t>
      </w:r>
    </w:p>
    <w:p w14:paraId="1D91E538" w14:textId="77777777" w:rsidR="00DB692D" w:rsidRPr="00942834" w:rsidRDefault="00DB692D" w:rsidP="00F9172C">
      <w:pPr>
        <w:numPr>
          <w:ilvl w:val="0"/>
          <w:numId w:val="63"/>
        </w:numPr>
        <w:spacing w:after="0" w:line="360" w:lineRule="auto"/>
        <w:ind w:left="405" w:firstLine="0"/>
        <w:jc w:val="both"/>
        <w:textAlignment w:val="baseline"/>
      </w:pPr>
      <w:r w:rsidRPr="00942834">
        <w:t>schopnost zdůvodnit si podvodné jednání (tj. osoba odpovědná za páchání podvodu je schopna si toto jednání obhájit a ospravedlnit jako vhodné a správné). </w:t>
      </w:r>
    </w:p>
    <w:p w14:paraId="011348AC" w14:textId="3937DD45" w:rsidR="00DB692D" w:rsidRPr="00942834" w:rsidRDefault="00DB692D" w:rsidP="00CD5FBB">
      <w:pPr>
        <w:spacing w:after="0" w:line="360" w:lineRule="auto"/>
        <w:jc w:val="both"/>
      </w:pPr>
      <w:r w:rsidRPr="00942834">
        <w:t xml:space="preserve">DU/VK/SI musí při procesu identifikace a hodnocení těchto typů rizik zohledňovat tyto výše uvedené faktory a aktivně s nimi pracovat.  Zároveň by měli identifikovat další </w:t>
      </w:r>
      <w:r w:rsidR="00551168" w:rsidRPr="00942834">
        <w:t>RED FLAG</w:t>
      </w:r>
      <w:r w:rsidRPr="00942834">
        <w:t xml:space="preserve"> specifické pro jejich oblasti a procesy a tyto zdokumentovat a zohlednit při hodnocení rizik.  </w:t>
      </w:r>
    </w:p>
    <w:p w14:paraId="5BD7B238" w14:textId="77777777" w:rsidR="00DB692D" w:rsidRPr="00942834" w:rsidRDefault="00DB692D" w:rsidP="00CD5FBB">
      <w:pPr>
        <w:spacing w:after="0" w:line="360" w:lineRule="auto"/>
        <w:jc w:val="both"/>
      </w:pPr>
    </w:p>
    <w:p w14:paraId="7CDCEFF9" w14:textId="77777777" w:rsidR="00DB692D" w:rsidRPr="00942834" w:rsidRDefault="00DB692D" w:rsidP="00CD5FBB">
      <w:pPr>
        <w:spacing w:after="0" w:line="360" w:lineRule="auto"/>
        <w:jc w:val="both"/>
      </w:pPr>
      <w:r w:rsidRPr="00942834">
        <w:t>Vzhledem k tomu, že se jedná o specifickou a stále se rozvíjejících oblast je vhodné, aby nejen pracovník zabývající se řízením rizik, ale i pracovníci zapojení do procesů administrace NPO absolvovali v pravidelných intervalech interní/externí školení na oblast identifikace rizik podvodného jednání nebo obdobné. Tak bude zajištěna aktuálnost a informovanost v procesu řízení rizik a bude se na tomto systému podílet celá organizační jednotka zabývající administrací NPO.   </w:t>
      </w:r>
    </w:p>
    <w:p w14:paraId="77CA87E8" w14:textId="77777777" w:rsidR="00DB692D" w:rsidRDefault="00DB692D" w:rsidP="0015511F">
      <w:pPr>
        <w:spacing w:line="360" w:lineRule="auto"/>
        <w:ind w:left="66"/>
        <w:jc w:val="both"/>
      </w:pPr>
    </w:p>
    <w:p w14:paraId="2DF3F9B6" w14:textId="4476BAEA" w:rsidR="00510ABF" w:rsidRPr="00683B4C" w:rsidRDefault="004364F2" w:rsidP="00CD5FBB">
      <w:pPr>
        <w:pStyle w:val="Nadpis2-mimoobsah"/>
        <w:ind w:left="720"/>
        <w:jc w:val="both"/>
      </w:pPr>
      <w:r>
        <w:t>2.2</w:t>
      </w:r>
      <w:r w:rsidR="00E47FEA">
        <w:t xml:space="preserve"> </w:t>
      </w:r>
      <w:r w:rsidR="00510ABF" w:rsidRPr="00683B4C">
        <w:t>Riziko dvojího financování a střetu zájmů</w:t>
      </w:r>
    </w:p>
    <w:p w14:paraId="79485E01" w14:textId="26840D7D" w:rsidR="00510ABF" w:rsidRDefault="00510ABF" w:rsidP="0015511F">
      <w:pPr>
        <w:spacing w:line="360" w:lineRule="auto"/>
        <w:jc w:val="both"/>
      </w:pPr>
      <w:r>
        <w:t xml:space="preserve">Poskytnutá podpora nesmí pokrývat stejné náklady </w:t>
      </w:r>
      <w:r>
        <w:rPr>
          <w:noProof/>
        </w:rPr>
        <w:t>na</w:t>
      </w:r>
      <w:r w:rsidRPr="009532BA">
        <w:rPr>
          <w:b/>
          <w:noProof/>
        </w:rPr>
        <w:t xml:space="preserve"> úrovni konečného příjemce </w:t>
      </w:r>
      <w:r w:rsidRPr="000E5F97">
        <w:rPr>
          <w:noProof/>
        </w:rPr>
        <w:t>(</w:t>
      </w:r>
      <w:r>
        <w:rPr>
          <w:noProof/>
        </w:rPr>
        <w:t xml:space="preserve">podpora ze SR či jiných fondů EU). Odpovědnost za prevenci, odhalení a nápravu dvojího financování u konečného příjemce nese především členský stát, tj. poskytovatelé dotace. </w:t>
      </w:r>
      <w:r>
        <w:t>K tomu slouží mimo jiné i sběr informací dle čl. 22</w:t>
      </w:r>
      <w:r w:rsidR="00EA284C">
        <w:t xml:space="preserve"> F</w:t>
      </w:r>
      <w:r w:rsidR="00E47FEA">
        <w:t>inančního nařízení,</w:t>
      </w:r>
      <w:r>
        <w:t xml:space="preserve"> tj. seznamy operací s vyčíslením podpory z jiných fondů, celkové dotace na operace, seznamy příjemců atd. Pokud je zjištěno dvojí financování a </w:t>
      </w:r>
      <w:r w:rsidR="00EA284C">
        <w:t>ČS</w:t>
      </w:r>
      <w:r>
        <w:t xml:space="preserve"> toto nenapraví a nevymůže prostředky od konečného příjemce, EK bude zpět vymáhat prostředky z RRF po členském státu. Z dvojího financování na úrovni projektu existuje </w:t>
      </w:r>
      <w:proofErr w:type="spellStart"/>
      <w:r>
        <w:t>provazba</w:t>
      </w:r>
      <w:proofErr w:type="spellEnd"/>
      <w:r>
        <w:t xml:space="preserve"> na souběh podpor na úrovni </w:t>
      </w:r>
      <w:r w:rsidR="00EA284C">
        <w:t>ČS</w:t>
      </w:r>
      <w:r>
        <w:t xml:space="preserve">. Poskytnutá podpora nesmí pokrývat stejné náklady </w:t>
      </w:r>
      <w:r w:rsidRPr="009532BA">
        <w:rPr>
          <w:b/>
        </w:rPr>
        <w:t>na úrovni členského státu</w:t>
      </w:r>
      <w:r>
        <w:t xml:space="preserve">. Překryvy mezi programy být mohou, ale nemohou být financovány stejné náklady v reformách a investicích z RRF a z jiného zdroje EU a celkový příspěvek EU nesmí překročit 100 % odhadovaných nákladů projektu. Nesmí docházet k překryvům ani </w:t>
      </w:r>
      <w:r w:rsidRPr="005354AD">
        <w:rPr>
          <w:b/>
        </w:rPr>
        <w:t>na úrovni vykazovaných cílů.</w:t>
      </w:r>
      <w:r>
        <w:rPr>
          <w:b/>
        </w:rPr>
        <w:t xml:space="preserve"> (</w:t>
      </w:r>
      <w:r w:rsidR="00E47FEA">
        <w:t>n</w:t>
      </w:r>
      <w:r w:rsidRPr="00A46B48">
        <w:t>apř.</w:t>
      </w:r>
      <w:r w:rsidRPr="00FF1A96">
        <w:t xml:space="preserve"> 5</w:t>
      </w:r>
      <w:r>
        <w:t xml:space="preserve">00 </w:t>
      </w:r>
      <w:r>
        <w:lastRenderedPageBreak/>
        <w:t>větrných elektráren, na které je podpora v rámci RRF nesmí být vykazovány v kohezi.) Dvojí financování a</w:t>
      </w:r>
      <w:r w:rsidR="00BB2AB2">
        <w:t> </w:t>
      </w:r>
      <w:r>
        <w:t xml:space="preserve">střet zájmů jsou podrobně popsány v MP RED FLAGS. </w:t>
      </w:r>
    </w:p>
    <w:p w14:paraId="684B4D50" w14:textId="135985E9" w:rsidR="00510ABF" w:rsidRDefault="00510ABF" w:rsidP="00F9172C">
      <w:pPr>
        <w:spacing w:line="360" w:lineRule="auto"/>
        <w:jc w:val="both"/>
      </w:pPr>
      <w:r>
        <w:t xml:space="preserve">Principy, které je třeba při řízení rizika dvojího financování respektovat jsou obdobné jako pro oblast podvodů a korupce. </w:t>
      </w:r>
    </w:p>
    <w:p w14:paraId="0C17EE3D" w14:textId="2BE1E721" w:rsidR="00510ABF" w:rsidRDefault="00510ABF">
      <w:pPr>
        <w:spacing w:line="360" w:lineRule="auto"/>
        <w:ind w:left="66"/>
        <w:jc w:val="both"/>
        <w:rPr>
          <w:lang w:eastAsia="cs-CZ"/>
        </w:rPr>
      </w:pPr>
      <w:r w:rsidRPr="00A46B48">
        <w:rPr>
          <w:rFonts w:cstheme="minorHAnsi"/>
          <w:color w:val="000000"/>
        </w:rPr>
        <w:t>Vzhledem k rozsáhlosti některých programů a k obsáhlosti problematiky rizik je možné provádět eliminaci rizik a s tím související kontroly na vzorku.</w:t>
      </w:r>
    </w:p>
    <w:p w14:paraId="0FCA3DBE" w14:textId="77777777" w:rsidR="00D33042" w:rsidRPr="00D33042" w:rsidRDefault="00D33042" w:rsidP="0015511F">
      <w:pPr>
        <w:spacing w:line="360" w:lineRule="auto"/>
        <w:jc w:val="both"/>
        <w:rPr>
          <w:lang w:eastAsia="cs-CZ"/>
        </w:rPr>
      </w:pPr>
    </w:p>
    <w:sectPr w:rsidR="00D33042" w:rsidRPr="00D33042" w:rsidSect="00BF0D56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3D99C" w14:textId="77777777" w:rsidR="00A36DF9" w:rsidRDefault="00A36DF9" w:rsidP="00677FE0">
      <w:pPr>
        <w:spacing w:after="0" w:line="240" w:lineRule="auto"/>
      </w:pPr>
      <w:r>
        <w:separator/>
      </w:r>
    </w:p>
  </w:endnote>
  <w:endnote w:type="continuationSeparator" w:id="0">
    <w:p w14:paraId="59F9EA75" w14:textId="77777777" w:rsidR="00A36DF9" w:rsidRDefault="00A36DF9" w:rsidP="00677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56622852"/>
      <w:docPartObj>
        <w:docPartGallery w:val="Page Numbers (Bottom of Page)"/>
        <w:docPartUnique/>
      </w:docPartObj>
    </w:sdtPr>
    <w:sdtEndPr/>
    <w:sdtContent>
      <w:p w14:paraId="666F2010" w14:textId="0EA9F026" w:rsidR="00942834" w:rsidRDefault="0094283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007421C" w14:textId="77777777" w:rsidR="00336EB5" w:rsidRDefault="00336EB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226995"/>
      <w:docPartObj>
        <w:docPartGallery w:val="Page Numbers (Bottom of Page)"/>
        <w:docPartUnique/>
      </w:docPartObj>
    </w:sdtPr>
    <w:sdtEndPr/>
    <w:sdtContent>
      <w:p w14:paraId="50DF5C21" w14:textId="22B107EB" w:rsidR="00942834" w:rsidRDefault="0094283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B0FF35" w14:textId="77777777" w:rsidR="00BF0D56" w:rsidRDefault="00BF0D5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4C625" w14:textId="77777777" w:rsidR="00A36DF9" w:rsidRDefault="00A36DF9" w:rsidP="00677FE0">
      <w:pPr>
        <w:spacing w:after="0" w:line="240" w:lineRule="auto"/>
      </w:pPr>
      <w:r>
        <w:separator/>
      </w:r>
    </w:p>
  </w:footnote>
  <w:footnote w:type="continuationSeparator" w:id="0">
    <w:p w14:paraId="7A5918CF" w14:textId="77777777" w:rsidR="00A36DF9" w:rsidRDefault="00A36DF9" w:rsidP="00677FE0">
      <w:pPr>
        <w:spacing w:after="0" w:line="240" w:lineRule="auto"/>
      </w:pPr>
      <w:r>
        <w:continuationSeparator/>
      </w:r>
    </w:p>
  </w:footnote>
  <w:footnote w:id="1">
    <w:p w14:paraId="7891FB5D" w14:textId="3BAC0DA8" w:rsidR="00551168" w:rsidRPr="00C56A65" w:rsidRDefault="00551168" w:rsidP="00551168">
      <w:pPr>
        <w:spacing w:line="360" w:lineRule="auto"/>
        <w:jc w:val="both"/>
        <w:rPr>
          <w:sz w:val="18"/>
          <w:szCs w:val="18"/>
          <w:lang w:eastAsia="cs-CZ"/>
        </w:rPr>
      </w:pPr>
      <w:r>
        <w:rPr>
          <w:rStyle w:val="Znakapoznpodarou"/>
        </w:rPr>
        <w:footnoteRef/>
      </w:r>
      <w:r w:rsidRPr="00C56A65">
        <w:rPr>
          <w:sz w:val="18"/>
          <w:szCs w:val="18"/>
        </w:rPr>
        <w:t xml:space="preserve"> </w:t>
      </w:r>
      <w:r w:rsidRPr="00C56A65">
        <w:rPr>
          <w:sz w:val="18"/>
          <w:szCs w:val="18"/>
          <w:lang w:eastAsia="cs-CZ"/>
        </w:rPr>
        <w:t>Aktuálně platný seznam typů a podtypů rizik je dostupný v</w:t>
      </w:r>
      <w:r>
        <w:rPr>
          <w:sz w:val="18"/>
          <w:szCs w:val="18"/>
          <w:lang w:eastAsia="cs-CZ"/>
        </w:rPr>
        <w:t xml:space="preserve"> modulu </w:t>
      </w:r>
      <w:r w:rsidRPr="00C56A65">
        <w:rPr>
          <w:sz w:val="18"/>
          <w:szCs w:val="18"/>
          <w:lang w:eastAsia="cs-CZ"/>
        </w:rPr>
        <w:t>AIS</w:t>
      </w:r>
      <w:r>
        <w:rPr>
          <w:sz w:val="18"/>
          <w:szCs w:val="18"/>
          <w:lang w:eastAsia="cs-CZ"/>
        </w:rPr>
        <w:t xml:space="preserve"> MPO DU</w:t>
      </w:r>
    </w:p>
    <w:p w14:paraId="1FA4AFCD" w14:textId="6D5BDF4A" w:rsidR="00551168" w:rsidRDefault="00551168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AB9F" w14:textId="77777777" w:rsidR="00BF0D56" w:rsidRDefault="00BF0D56" w:rsidP="00BF0D56">
    <w:pPr>
      <w:pStyle w:val="Zhlav"/>
      <w:tabs>
        <w:tab w:val="clear" w:pos="4536"/>
        <w:tab w:val="clear" w:pos="9072"/>
        <w:tab w:val="left" w:pos="5947"/>
        <w:tab w:val="left" w:pos="9900"/>
      </w:tabs>
      <w:rPr>
        <w:noProof/>
      </w:rPr>
    </w:pPr>
  </w:p>
  <w:p w14:paraId="2967DDB0" w14:textId="77777777" w:rsidR="00BF0D56" w:rsidRDefault="00BF0D5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5C5B4" w14:textId="0B5C23AD" w:rsidR="00BF0D56" w:rsidRDefault="004B7298" w:rsidP="00720F15">
    <w:pPr>
      <w:pStyle w:val="Zhlav"/>
      <w:tabs>
        <w:tab w:val="clear" w:pos="4536"/>
        <w:tab w:val="clear" w:pos="9072"/>
        <w:tab w:val="left" w:pos="5947"/>
        <w:tab w:val="left" w:pos="9900"/>
      </w:tabs>
      <w:ind w:left="708"/>
      <w:jc w:val="center"/>
      <w:rPr>
        <w:noProof/>
      </w:rPr>
    </w:pPr>
    <w:r w:rsidRPr="004B7298">
      <w:rPr>
        <w:noProof/>
      </w:rPr>
      <w:drawing>
        <wp:anchor distT="0" distB="0" distL="114300" distR="114300" simplePos="0" relativeHeight="251659264" behindDoc="0" locked="0" layoutInCell="1" allowOverlap="1" wp14:anchorId="7EBCB5BF" wp14:editId="67B9FF48">
          <wp:simplePos x="0" y="0"/>
          <wp:positionH relativeFrom="margin">
            <wp:posOffset>-266700</wp:posOffset>
          </wp:positionH>
          <wp:positionV relativeFrom="paragraph">
            <wp:posOffset>-313055</wp:posOffset>
          </wp:positionV>
          <wp:extent cx="2240280" cy="669925"/>
          <wp:effectExtent l="0" t="0" r="7620" b="0"/>
          <wp:wrapNone/>
          <wp:docPr id="12" name="Obrázek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40280" cy="669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B7298">
      <w:rPr>
        <w:noProof/>
      </w:rPr>
      <w:drawing>
        <wp:anchor distT="0" distB="0" distL="114300" distR="114300" simplePos="0" relativeHeight="251660288" behindDoc="1" locked="0" layoutInCell="1" allowOverlap="1" wp14:anchorId="051A7905" wp14:editId="2D7B2152">
          <wp:simplePos x="0" y="0"/>
          <wp:positionH relativeFrom="column">
            <wp:posOffset>5043170</wp:posOffset>
          </wp:positionH>
          <wp:positionV relativeFrom="paragraph">
            <wp:posOffset>-448310</wp:posOffset>
          </wp:positionV>
          <wp:extent cx="2313155" cy="964385"/>
          <wp:effectExtent l="0" t="0" r="0" b="7620"/>
          <wp:wrapNone/>
          <wp:docPr id="13" name="Obráze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3155" cy="9643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CE432F" w14:textId="7A847732" w:rsidR="00BF0D56" w:rsidRDefault="00BF0D56" w:rsidP="00BF0D56">
    <w:pPr>
      <w:pStyle w:val="Zhlav"/>
      <w:tabs>
        <w:tab w:val="clear" w:pos="4536"/>
        <w:tab w:val="clear" w:pos="9072"/>
        <w:tab w:val="left" w:pos="9900"/>
      </w:tabs>
      <w:ind w:left="708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068BA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C0400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644E8B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DE894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7EEA4E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08C23B5"/>
    <w:multiLevelType w:val="multilevel"/>
    <w:tmpl w:val="E8A48D7C"/>
    <w:numStyleLink w:val="VariantaA-sla"/>
  </w:abstractNum>
  <w:abstractNum w:abstractNumId="6" w15:restartNumberingAfterBreak="0">
    <w:nsid w:val="02E83A8B"/>
    <w:multiLevelType w:val="multilevel"/>
    <w:tmpl w:val="E8BAE50A"/>
    <w:numStyleLink w:val="VariantaA-odrky"/>
  </w:abstractNum>
  <w:abstractNum w:abstractNumId="7" w15:restartNumberingAfterBreak="0">
    <w:nsid w:val="0402680D"/>
    <w:multiLevelType w:val="multilevel"/>
    <w:tmpl w:val="E8BAE50A"/>
    <w:numStyleLink w:val="VariantaA-odrky"/>
  </w:abstractNum>
  <w:abstractNum w:abstractNumId="8" w15:restartNumberingAfterBreak="0">
    <w:nsid w:val="040D1B93"/>
    <w:multiLevelType w:val="multilevel"/>
    <w:tmpl w:val="E8A48D7C"/>
    <w:styleLink w:val="VariantaA-sla"/>
    <w:lvl w:ilvl="0">
      <w:start w:val="1"/>
      <w:numFmt w:val="decimal"/>
      <w:pStyle w:val="slovanseznam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lovanseznam2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pStyle w:val="slovanseznam3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slovanseznam4"/>
      <w:lvlText w:val="%1.%2.%3.%4."/>
      <w:lvlJc w:val="left"/>
      <w:pPr>
        <w:tabs>
          <w:tab w:val="num" w:pos="1474"/>
        </w:tabs>
        <w:ind w:left="2268" w:hanging="794"/>
      </w:pPr>
      <w:rPr>
        <w:rFonts w:hint="default"/>
      </w:rPr>
    </w:lvl>
    <w:lvl w:ilvl="4">
      <w:start w:val="1"/>
      <w:numFmt w:val="decimal"/>
      <w:pStyle w:val="slovanseznam5"/>
      <w:lvlText w:val="%1.%2.%3.%4.%5."/>
      <w:lvlJc w:val="left"/>
      <w:pPr>
        <w:ind w:left="3232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6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2"/>
        </w:tabs>
        <w:ind w:left="4536" w:hanging="130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32"/>
        </w:tabs>
        <w:ind w:left="4706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76" w:hanging="1644"/>
      </w:pPr>
      <w:rPr>
        <w:rFonts w:hint="default"/>
      </w:rPr>
    </w:lvl>
  </w:abstractNum>
  <w:abstractNum w:abstractNumId="9" w15:restartNumberingAfterBreak="0">
    <w:nsid w:val="0479347F"/>
    <w:multiLevelType w:val="multilevel"/>
    <w:tmpl w:val="3320A8B2"/>
    <w:numStyleLink w:val="VariantaB-odrky"/>
  </w:abstractNum>
  <w:abstractNum w:abstractNumId="10" w15:restartNumberingAfterBreak="0">
    <w:nsid w:val="04D643EE"/>
    <w:multiLevelType w:val="multilevel"/>
    <w:tmpl w:val="E8A48D7C"/>
    <w:numStyleLink w:val="VariantaA-sla"/>
  </w:abstractNum>
  <w:abstractNum w:abstractNumId="11" w15:restartNumberingAfterBreak="0">
    <w:nsid w:val="07B1525A"/>
    <w:multiLevelType w:val="multilevel"/>
    <w:tmpl w:val="F7867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BDD4BBA"/>
    <w:multiLevelType w:val="multilevel"/>
    <w:tmpl w:val="E8BAE50A"/>
    <w:numStyleLink w:val="VariantaA-odrky"/>
  </w:abstractNum>
  <w:abstractNum w:abstractNumId="13" w15:restartNumberingAfterBreak="0">
    <w:nsid w:val="0D786F4D"/>
    <w:multiLevelType w:val="multilevel"/>
    <w:tmpl w:val="0A5A7CA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74"/>
        </w:tabs>
        <w:ind w:left="2211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5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9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4" w15:restartNumberingAfterBreak="0">
    <w:nsid w:val="130316F8"/>
    <w:multiLevelType w:val="multilevel"/>
    <w:tmpl w:val="3320A8B2"/>
    <w:numStyleLink w:val="VariantaB-odrky"/>
  </w:abstractNum>
  <w:abstractNum w:abstractNumId="15" w15:restartNumberingAfterBreak="0">
    <w:nsid w:val="13FB2F1F"/>
    <w:multiLevelType w:val="multilevel"/>
    <w:tmpl w:val="E8BAE50A"/>
    <w:numStyleLink w:val="VariantaA-odrky"/>
  </w:abstractNum>
  <w:abstractNum w:abstractNumId="16" w15:restartNumberingAfterBreak="0">
    <w:nsid w:val="14DE4581"/>
    <w:multiLevelType w:val="hybridMultilevel"/>
    <w:tmpl w:val="8BD02E6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587B24"/>
    <w:multiLevelType w:val="multilevel"/>
    <w:tmpl w:val="E8BAE50A"/>
    <w:numStyleLink w:val="VariantaA-odrky"/>
  </w:abstractNum>
  <w:abstractNum w:abstractNumId="18" w15:restartNumberingAfterBreak="0">
    <w:nsid w:val="1615572B"/>
    <w:multiLevelType w:val="multilevel"/>
    <w:tmpl w:val="3320A8B2"/>
    <w:styleLink w:val="VariantaB-odrky"/>
    <w:lvl w:ilvl="0">
      <w:start w:val="1"/>
      <w:numFmt w:val="bullet"/>
      <w:pStyle w:val="SeznamsodrkamiB"/>
      <w:lvlText w:val="—"/>
      <w:lvlJc w:val="left"/>
      <w:pPr>
        <w:ind w:left="357" w:hanging="357"/>
      </w:pPr>
      <w:rPr>
        <w:rFonts w:ascii="Calibri" w:hAnsi="Calibri" w:hint="default"/>
        <w:sz w:val="16"/>
      </w:rPr>
    </w:lvl>
    <w:lvl w:ilvl="1">
      <w:start w:val="1"/>
      <w:numFmt w:val="bullet"/>
      <w:pStyle w:val="SeznamsodrkamiB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B3"/>
      <w:lvlText w:val=""/>
      <w:lvlJc w:val="left"/>
      <w:pPr>
        <w:ind w:left="1071" w:hanging="357"/>
      </w:pPr>
      <w:rPr>
        <w:rFonts w:ascii="Wingdings 2" w:hAnsi="Wingdings 2" w:hint="default"/>
      </w:rPr>
    </w:lvl>
    <w:lvl w:ilvl="3">
      <w:start w:val="1"/>
      <w:numFmt w:val="bullet"/>
      <w:pStyle w:val="SeznamsodrkamiB4"/>
      <w:lvlText w:val=""/>
      <w:lvlJc w:val="left"/>
      <w:pPr>
        <w:ind w:left="1428" w:hanging="357"/>
      </w:pPr>
      <w:rPr>
        <w:rFonts w:ascii="Wingdings 2" w:hAnsi="Wingdings 2" w:hint="default"/>
      </w:rPr>
    </w:lvl>
    <w:lvl w:ilvl="4">
      <w:start w:val="1"/>
      <w:numFmt w:val="bullet"/>
      <w:pStyle w:val="SeznamsodrkamiB5"/>
      <w:lvlText w:val=""/>
      <w:lvlJc w:val="left"/>
      <w:pPr>
        <w:ind w:left="1785" w:hanging="357"/>
      </w:pPr>
      <w:rPr>
        <w:rFonts w:ascii="Wingdings 2" w:hAnsi="Wingdings 2" w:hint="default"/>
      </w:rPr>
    </w:lvl>
    <w:lvl w:ilvl="5">
      <w:start w:val="1"/>
      <w:numFmt w:val="bullet"/>
      <w:lvlText w:val=""/>
      <w:lvlJc w:val="left"/>
      <w:pPr>
        <w:ind w:left="2142" w:hanging="357"/>
      </w:pPr>
      <w:rPr>
        <w:rFonts w:ascii="Wingdings 2" w:hAnsi="Wingdings 2" w:cs="Times New Roman" w:hint="default"/>
      </w:rPr>
    </w:lvl>
    <w:lvl w:ilvl="6">
      <w:start w:val="1"/>
      <w:numFmt w:val="bullet"/>
      <w:lvlText w:val=""/>
      <w:lvlJc w:val="left"/>
      <w:pPr>
        <w:ind w:left="2499" w:hanging="357"/>
      </w:pPr>
      <w:rPr>
        <w:rFonts w:ascii="Wingdings 2" w:hAnsi="Wingdings 2" w:cs="Times New Roman" w:hint="default"/>
      </w:rPr>
    </w:lvl>
    <w:lvl w:ilvl="7">
      <w:start w:val="1"/>
      <w:numFmt w:val="bullet"/>
      <w:lvlText w:val=""/>
      <w:lvlJc w:val="left"/>
      <w:pPr>
        <w:ind w:left="2856" w:hanging="357"/>
      </w:pPr>
      <w:rPr>
        <w:rFonts w:ascii="Wingdings 2" w:hAnsi="Wingdings 2" w:cs="Times New Roman" w:hint="default"/>
      </w:rPr>
    </w:lvl>
    <w:lvl w:ilvl="8">
      <w:start w:val="1"/>
      <w:numFmt w:val="bullet"/>
      <w:lvlText w:val=""/>
      <w:lvlJc w:val="left"/>
      <w:pPr>
        <w:ind w:left="3213" w:hanging="357"/>
      </w:pPr>
      <w:rPr>
        <w:rFonts w:ascii="Wingdings 2" w:hAnsi="Wingdings 2" w:cs="Times New Roman" w:hint="default"/>
      </w:rPr>
    </w:lvl>
  </w:abstractNum>
  <w:abstractNum w:abstractNumId="19" w15:restartNumberingAfterBreak="0">
    <w:nsid w:val="18A06533"/>
    <w:multiLevelType w:val="multilevel"/>
    <w:tmpl w:val="30C4427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191872DA"/>
    <w:multiLevelType w:val="multilevel"/>
    <w:tmpl w:val="E8A48D7C"/>
    <w:numStyleLink w:val="VariantaA-sla"/>
  </w:abstractNum>
  <w:abstractNum w:abstractNumId="21" w15:restartNumberingAfterBreak="0">
    <w:nsid w:val="19987FCF"/>
    <w:multiLevelType w:val="multilevel"/>
    <w:tmpl w:val="0D8ABE32"/>
    <w:numStyleLink w:val="VariantaB-sla"/>
  </w:abstractNum>
  <w:abstractNum w:abstractNumId="22" w15:restartNumberingAfterBreak="0">
    <w:nsid w:val="1D3068A6"/>
    <w:multiLevelType w:val="multilevel"/>
    <w:tmpl w:val="3320A8B2"/>
    <w:numStyleLink w:val="VariantaB-odrky"/>
  </w:abstractNum>
  <w:abstractNum w:abstractNumId="23" w15:restartNumberingAfterBreak="0">
    <w:nsid w:val="1D464EC2"/>
    <w:multiLevelType w:val="multilevel"/>
    <w:tmpl w:val="E8BAE50A"/>
    <w:numStyleLink w:val="VariantaA-odrky"/>
  </w:abstractNum>
  <w:abstractNum w:abstractNumId="24" w15:restartNumberingAfterBreak="0">
    <w:nsid w:val="1EAB39CE"/>
    <w:multiLevelType w:val="multilevel"/>
    <w:tmpl w:val="E8BAE50A"/>
    <w:numStyleLink w:val="VariantaA-odrky"/>
  </w:abstractNum>
  <w:abstractNum w:abstractNumId="25" w15:restartNumberingAfterBreak="0">
    <w:nsid w:val="21823A56"/>
    <w:multiLevelType w:val="multilevel"/>
    <w:tmpl w:val="234462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35829FF"/>
    <w:multiLevelType w:val="multilevel"/>
    <w:tmpl w:val="B1F20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3E714C5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26E0171E"/>
    <w:multiLevelType w:val="multilevel"/>
    <w:tmpl w:val="2446F36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289A5EA2"/>
    <w:multiLevelType w:val="multilevel"/>
    <w:tmpl w:val="E8BAE50A"/>
    <w:numStyleLink w:val="VariantaA-odrky"/>
  </w:abstractNum>
  <w:abstractNum w:abstractNumId="30" w15:restartNumberingAfterBreak="0">
    <w:nsid w:val="28AB573E"/>
    <w:multiLevelType w:val="multilevel"/>
    <w:tmpl w:val="3320A8B2"/>
    <w:numStyleLink w:val="VariantaB-odrky"/>
  </w:abstractNum>
  <w:abstractNum w:abstractNumId="31" w15:restartNumberingAfterBreak="0">
    <w:nsid w:val="2A5F2D39"/>
    <w:multiLevelType w:val="multilevel"/>
    <w:tmpl w:val="E8BAE50A"/>
    <w:numStyleLink w:val="VariantaA-odrky"/>
  </w:abstractNum>
  <w:abstractNum w:abstractNumId="32" w15:restartNumberingAfterBreak="0">
    <w:nsid w:val="2B0C1AA2"/>
    <w:multiLevelType w:val="hybridMultilevel"/>
    <w:tmpl w:val="DE10C19A"/>
    <w:lvl w:ilvl="0" w:tplc="E294E57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D4A313D"/>
    <w:multiLevelType w:val="hybridMultilevel"/>
    <w:tmpl w:val="417213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BB2CE6"/>
    <w:multiLevelType w:val="multilevel"/>
    <w:tmpl w:val="E8BAE50A"/>
    <w:numStyleLink w:val="VariantaA-odrky"/>
  </w:abstractNum>
  <w:abstractNum w:abstractNumId="35" w15:restartNumberingAfterBreak="0">
    <w:nsid w:val="2F242B68"/>
    <w:multiLevelType w:val="hybridMultilevel"/>
    <w:tmpl w:val="C762B41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5131EF"/>
    <w:multiLevelType w:val="multilevel"/>
    <w:tmpl w:val="E8A48D7C"/>
    <w:numStyleLink w:val="VariantaA-sla"/>
  </w:abstractNum>
  <w:abstractNum w:abstractNumId="37" w15:restartNumberingAfterBreak="0">
    <w:nsid w:val="36D54F3E"/>
    <w:multiLevelType w:val="multilevel"/>
    <w:tmpl w:val="A4861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97C0157"/>
    <w:multiLevelType w:val="multilevel"/>
    <w:tmpl w:val="09A45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3C216B19"/>
    <w:multiLevelType w:val="multilevel"/>
    <w:tmpl w:val="F97E2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3E05026F"/>
    <w:multiLevelType w:val="hybridMultilevel"/>
    <w:tmpl w:val="FF1C62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08D220D"/>
    <w:multiLevelType w:val="multilevel"/>
    <w:tmpl w:val="000C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2074A62"/>
    <w:multiLevelType w:val="hybridMultilevel"/>
    <w:tmpl w:val="9642D74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966C3CB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5E63B36"/>
    <w:multiLevelType w:val="multilevel"/>
    <w:tmpl w:val="8CA03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47ED0845"/>
    <w:multiLevelType w:val="multilevel"/>
    <w:tmpl w:val="0405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49D826AF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4A306389"/>
    <w:multiLevelType w:val="multilevel"/>
    <w:tmpl w:val="E8BAE50A"/>
    <w:numStyleLink w:val="VariantaA-odrky"/>
  </w:abstractNum>
  <w:abstractNum w:abstractNumId="47" w15:restartNumberingAfterBreak="0">
    <w:nsid w:val="4F89775E"/>
    <w:multiLevelType w:val="multilevel"/>
    <w:tmpl w:val="0D8ABE32"/>
    <w:styleLink w:val="VariantaB-sla"/>
    <w:lvl w:ilvl="0">
      <w:start w:val="1"/>
      <w:numFmt w:val="decimal"/>
      <w:pStyle w:val="slovanseznamB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slovanseznamB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slovanseznamB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slovanseznamB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slovanseznamB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8" w15:restartNumberingAfterBreak="0">
    <w:nsid w:val="53290926"/>
    <w:multiLevelType w:val="multilevel"/>
    <w:tmpl w:val="E8BAE50A"/>
    <w:numStyleLink w:val="VariantaA-odrky"/>
  </w:abstractNum>
  <w:abstractNum w:abstractNumId="49" w15:restartNumberingAfterBreak="0">
    <w:nsid w:val="533902EA"/>
    <w:multiLevelType w:val="multilevel"/>
    <w:tmpl w:val="E8BAE50A"/>
    <w:numStyleLink w:val="VariantaA-odrky"/>
  </w:abstractNum>
  <w:abstractNum w:abstractNumId="50" w15:restartNumberingAfterBreak="0">
    <w:nsid w:val="571C11E2"/>
    <w:multiLevelType w:val="multilevel"/>
    <w:tmpl w:val="E8A48D7C"/>
    <w:numStyleLink w:val="VariantaA-sla"/>
  </w:abstractNum>
  <w:abstractNum w:abstractNumId="51" w15:restartNumberingAfterBreak="0">
    <w:nsid w:val="58A321E4"/>
    <w:multiLevelType w:val="multilevel"/>
    <w:tmpl w:val="E8BAE50A"/>
    <w:styleLink w:val="VariantaA-odrky"/>
    <w:lvl w:ilvl="0">
      <w:start w:val="1"/>
      <w:numFmt w:val="bullet"/>
      <w:pStyle w:val="Seznamsodrkami"/>
      <w:lvlText w:val=""/>
      <w:lvlJc w:val="left"/>
      <w:pPr>
        <w:ind w:left="357" w:hanging="357"/>
      </w:pPr>
      <w:rPr>
        <w:rFonts w:ascii="Wingdings" w:hAnsi="Wingdings" w:hint="default"/>
        <w:sz w:val="16"/>
      </w:rPr>
    </w:lvl>
    <w:lvl w:ilvl="1">
      <w:start w:val="1"/>
      <w:numFmt w:val="bullet"/>
      <w:pStyle w:val="Seznamsodrkami2"/>
      <w:lvlText w:val=""/>
      <w:lvlJc w:val="left"/>
      <w:pPr>
        <w:ind w:left="714" w:hanging="357"/>
      </w:pPr>
      <w:rPr>
        <w:rFonts w:ascii="Wingdings" w:hAnsi="Wingdings" w:hint="default"/>
        <w:sz w:val="14"/>
      </w:rPr>
    </w:lvl>
    <w:lvl w:ilvl="2">
      <w:start w:val="1"/>
      <w:numFmt w:val="bullet"/>
      <w:pStyle w:val="Seznamsodrkami3"/>
      <w:lvlText w:val=""/>
      <w:lvlJc w:val="left"/>
      <w:pPr>
        <w:ind w:left="1071" w:hanging="357"/>
      </w:pPr>
      <w:rPr>
        <w:rFonts w:ascii="Wingdings" w:hAnsi="Wingdings" w:hint="default"/>
        <w:sz w:val="10"/>
      </w:rPr>
    </w:lvl>
    <w:lvl w:ilvl="3">
      <w:start w:val="1"/>
      <w:numFmt w:val="bullet"/>
      <w:pStyle w:val="Seznamsodrkami4"/>
      <w:lvlText w:val=""/>
      <w:lvlJc w:val="left"/>
      <w:pPr>
        <w:ind w:left="1428" w:hanging="357"/>
      </w:pPr>
      <w:rPr>
        <w:rFonts w:ascii="Wingdings" w:hAnsi="Wingdings" w:hint="default"/>
        <w:sz w:val="10"/>
      </w:rPr>
    </w:lvl>
    <w:lvl w:ilvl="4">
      <w:start w:val="1"/>
      <w:numFmt w:val="bullet"/>
      <w:pStyle w:val="Seznamsodrkami5"/>
      <w:lvlText w:val=""/>
      <w:lvlJc w:val="left"/>
      <w:pPr>
        <w:ind w:left="1785" w:hanging="357"/>
      </w:pPr>
      <w:rPr>
        <w:rFonts w:ascii="Wingdings" w:hAnsi="Wingdings" w:hint="default"/>
        <w:sz w:val="10"/>
      </w:rPr>
    </w:lvl>
    <w:lvl w:ilvl="5">
      <w:start w:val="1"/>
      <w:numFmt w:val="bullet"/>
      <w:lvlText w:val=""/>
      <w:lvlJc w:val="left"/>
      <w:pPr>
        <w:ind w:left="2142" w:hanging="357"/>
      </w:pPr>
      <w:rPr>
        <w:rFonts w:ascii="Wingdings" w:hAnsi="Wingdings" w:hint="default"/>
        <w:sz w:val="10"/>
      </w:rPr>
    </w:lvl>
    <w:lvl w:ilvl="6">
      <w:start w:val="1"/>
      <w:numFmt w:val="bullet"/>
      <w:lvlText w:val=""/>
      <w:lvlJc w:val="left"/>
      <w:pPr>
        <w:ind w:left="2499" w:hanging="357"/>
      </w:pPr>
      <w:rPr>
        <w:rFonts w:ascii="Wingdings" w:hAnsi="Wingdings" w:hint="default"/>
        <w:sz w:val="10"/>
      </w:rPr>
    </w:lvl>
    <w:lvl w:ilvl="7">
      <w:start w:val="1"/>
      <w:numFmt w:val="bullet"/>
      <w:lvlText w:val=""/>
      <w:lvlJc w:val="left"/>
      <w:pPr>
        <w:ind w:left="2856" w:hanging="357"/>
      </w:pPr>
      <w:rPr>
        <w:rFonts w:ascii="Wingdings" w:hAnsi="Wingdings" w:hint="default"/>
        <w:sz w:val="10"/>
      </w:rPr>
    </w:lvl>
    <w:lvl w:ilvl="8">
      <w:start w:val="1"/>
      <w:numFmt w:val="bullet"/>
      <w:lvlText w:val=""/>
      <w:lvlJc w:val="left"/>
      <w:pPr>
        <w:ind w:left="3213" w:hanging="357"/>
      </w:pPr>
      <w:rPr>
        <w:rFonts w:ascii="Wingdings" w:hAnsi="Wingdings" w:hint="default"/>
        <w:color w:val="000000" w:themeColor="text1"/>
        <w:sz w:val="10"/>
      </w:rPr>
    </w:lvl>
  </w:abstractNum>
  <w:abstractNum w:abstractNumId="52" w15:restartNumberingAfterBreak="0">
    <w:nsid w:val="5AF35F43"/>
    <w:multiLevelType w:val="multilevel"/>
    <w:tmpl w:val="0D8ABE32"/>
    <w:numStyleLink w:val="VariantaB-sla"/>
  </w:abstractNum>
  <w:abstractNum w:abstractNumId="53" w15:restartNumberingAfterBreak="0">
    <w:nsid w:val="620364C9"/>
    <w:multiLevelType w:val="multilevel"/>
    <w:tmpl w:val="FC6C3E9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4" w15:restartNumberingAfterBreak="0">
    <w:nsid w:val="63684702"/>
    <w:multiLevelType w:val="multilevel"/>
    <w:tmpl w:val="D1C61C8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color w:val="auto"/>
        <w:sz w:val="3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5" w15:restartNumberingAfterBreak="0">
    <w:nsid w:val="6FA131B8"/>
    <w:multiLevelType w:val="multilevel"/>
    <w:tmpl w:val="3CCA9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710A59BE"/>
    <w:multiLevelType w:val="hybridMultilevel"/>
    <w:tmpl w:val="77CEBAE8"/>
    <w:lvl w:ilvl="0" w:tplc="997A8346">
      <w:start w:val="5"/>
      <w:numFmt w:val="bullet"/>
      <w:lvlText w:val="•"/>
      <w:lvlJc w:val="left"/>
      <w:pPr>
        <w:ind w:left="720" w:hanging="360"/>
      </w:pPr>
      <w:rPr>
        <w:rFonts w:ascii="SymbolMT" w:eastAsiaTheme="minorHAnsi" w:hAnsi="SymbolMT" w:cs="SymbolMT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A4860A5"/>
    <w:multiLevelType w:val="multilevel"/>
    <w:tmpl w:val="1F30EF5E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58" w15:restartNumberingAfterBreak="0">
    <w:nsid w:val="7DCB192C"/>
    <w:multiLevelType w:val="hybridMultilevel"/>
    <w:tmpl w:val="ADA2CB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C80A75"/>
    <w:multiLevelType w:val="multilevel"/>
    <w:tmpl w:val="E4701F8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8"/>
  </w:num>
  <w:num w:numId="2">
    <w:abstractNumId w:val="51"/>
  </w:num>
  <w:num w:numId="3">
    <w:abstractNumId w:val="22"/>
  </w:num>
  <w:num w:numId="4">
    <w:abstractNumId w:val="15"/>
  </w:num>
  <w:num w:numId="5">
    <w:abstractNumId w:val="5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1" w:hanging="494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74" w:hanging="623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474"/>
          </w:tabs>
          <w:ind w:left="2211" w:hanging="73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3175" w:hanging="96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4309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499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2856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213" w:hanging="357"/>
        </w:pPr>
        <w:rPr>
          <w:rFonts w:hint="default"/>
        </w:rPr>
      </w:lvl>
    </w:lvlOverride>
  </w:num>
  <w:num w:numId="6">
    <w:abstractNumId w:val="47"/>
  </w:num>
  <w:num w:numId="7">
    <w:abstractNumId w:val="7"/>
  </w:num>
  <w:num w:numId="8">
    <w:abstractNumId w:val="50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49"/>
  </w:num>
  <w:num w:numId="14">
    <w:abstractNumId w:val="4"/>
  </w:num>
  <w:num w:numId="15">
    <w:abstractNumId w:val="3"/>
  </w:num>
  <w:num w:numId="16">
    <w:abstractNumId w:val="47"/>
  </w:num>
  <w:num w:numId="17">
    <w:abstractNumId w:val="23"/>
  </w:num>
  <w:num w:numId="18">
    <w:abstractNumId w:val="6"/>
  </w:num>
  <w:num w:numId="19">
    <w:abstractNumId w:val="13"/>
  </w:num>
  <w:num w:numId="20">
    <w:abstractNumId w:val="8"/>
  </w:num>
  <w:num w:numId="21">
    <w:abstractNumId w:val="36"/>
  </w:num>
  <w:num w:numId="22">
    <w:abstractNumId w:val="10"/>
  </w:num>
  <w:num w:numId="23">
    <w:abstractNumId w:val="24"/>
  </w:num>
  <w:num w:numId="24">
    <w:abstractNumId w:val="12"/>
  </w:num>
  <w:num w:numId="25">
    <w:abstractNumId w:val="17"/>
  </w:num>
  <w:num w:numId="26">
    <w:abstractNumId w:val="46"/>
  </w:num>
  <w:num w:numId="27">
    <w:abstractNumId w:val="34"/>
  </w:num>
  <w:num w:numId="28">
    <w:abstractNumId w:val="31"/>
  </w:num>
  <w:num w:numId="29">
    <w:abstractNumId w:val="21"/>
  </w:num>
  <w:num w:numId="30">
    <w:abstractNumId w:val="48"/>
  </w:num>
  <w:num w:numId="31">
    <w:abstractNumId w:val="52"/>
  </w:num>
  <w:num w:numId="32">
    <w:abstractNumId w:val="29"/>
  </w:num>
  <w:num w:numId="33">
    <w:abstractNumId w:val="20"/>
  </w:num>
  <w:num w:numId="34">
    <w:abstractNumId w:val="9"/>
  </w:num>
  <w:num w:numId="35">
    <w:abstractNumId w:val="30"/>
  </w:num>
  <w:num w:numId="36">
    <w:abstractNumId w:val="14"/>
  </w:num>
  <w:num w:numId="37">
    <w:abstractNumId w:val="28"/>
  </w:num>
  <w:num w:numId="38">
    <w:abstractNumId w:val="28"/>
  </w:num>
  <w:num w:numId="39">
    <w:abstractNumId w:val="25"/>
  </w:num>
  <w:num w:numId="40">
    <w:abstractNumId w:val="59"/>
  </w:num>
  <w:num w:numId="41">
    <w:abstractNumId w:val="54"/>
  </w:num>
  <w:num w:numId="42">
    <w:abstractNumId w:val="53"/>
  </w:num>
  <w:num w:numId="43">
    <w:abstractNumId w:val="58"/>
  </w:num>
  <w:num w:numId="44">
    <w:abstractNumId w:val="40"/>
  </w:num>
  <w:num w:numId="45">
    <w:abstractNumId w:val="27"/>
  </w:num>
  <w:num w:numId="46">
    <w:abstractNumId w:val="33"/>
  </w:num>
  <w:num w:numId="47">
    <w:abstractNumId w:val="42"/>
  </w:num>
  <w:num w:numId="48">
    <w:abstractNumId w:val="56"/>
  </w:num>
  <w:num w:numId="49">
    <w:abstractNumId w:val="19"/>
  </w:num>
  <w:num w:numId="50">
    <w:abstractNumId w:val="57"/>
  </w:num>
  <w:num w:numId="51">
    <w:abstractNumId w:val="16"/>
  </w:num>
  <w:num w:numId="52">
    <w:abstractNumId w:val="44"/>
  </w:num>
  <w:num w:numId="53">
    <w:abstractNumId w:val="45"/>
  </w:num>
  <w:num w:numId="54">
    <w:abstractNumId w:val="32"/>
  </w:num>
  <w:num w:numId="55">
    <w:abstractNumId w:val="35"/>
  </w:num>
  <w:num w:numId="56">
    <w:abstractNumId w:val="38"/>
  </w:num>
  <w:num w:numId="57">
    <w:abstractNumId w:val="37"/>
  </w:num>
  <w:num w:numId="58">
    <w:abstractNumId w:val="55"/>
  </w:num>
  <w:num w:numId="59">
    <w:abstractNumId w:val="11"/>
  </w:num>
  <w:num w:numId="60">
    <w:abstractNumId w:val="41"/>
  </w:num>
  <w:num w:numId="61">
    <w:abstractNumId w:val="26"/>
  </w:num>
  <w:num w:numId="62">
    <w:abstractNumId w:val="39"/>
  </w:num>
  <w:num w:numId="63">
    <w:abstractNumId w:val="43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AF5"/>
    <w:rsid w:val="00007F18"/>
    <w:rsid w:val="00015306"/>
    <w:rsid w:val="0002674B"/>
    <w:rsid w:val="0004162E"/>
    <w:rsid w:val="0004786B"/>
    <w:rsid w:val="00063405"/>
    <w:rsid w:val="000809B9"/>
    <w:rsid w:val="00090B40"/>
    <w:rsid w:val="00094FB1"/>
    <w:rsid w:val="00095A0A"/>
    <w:rsid w:val="000971E7"/>
    <w:rsid w:val="000B1B3D"/>
    <w:rsid w:val="000C4CAF"/>
    <w:rsid w:val="000E4FCA"/>
    <w:rsid w:val="000F1818"/>
    <w:rsid w:val="00121485"/>
    <w:rsid w:val="001268B0"/>
    <w:rsid w:val="0015511F"/>
    <w:rsid w:val="0018051B"/>
    <w:rsid w:val="00187561"/>
    <w:rsid w:val="001B1E4A"/>
    <w:rsid w:val="001D27C0"/>
    <w:rsid w:val="001E74C3"/>
    <w:rsid w:val="001F6937"/>
    <w:rsid w:val="0021607D"/>
    <w:rsid w:val="00220DE3"/>
    <w:rsid w:val="0025290D"/>
    <w:rsid w:val="00260372"/>
    <w:rsid w:val="00262DAF"/>
    <w:rsid w:val="00285AED"/>
    <w:rsid w:val="002B0D69"/>
    <w:rsid w:val="002C34B7"/>
    <w:rsid w:val="002E2442"/>
    <w:rsid w:val="002F0E8C"/>
    <w:rsid w:val="00310FA0"/>
    <w:rsid w:val="00320481"/>
    <w:rsid w:val="003250CB"/>
    <w:rsid w:val="00336EB5"/>
    <w:rsid w:val="003425AF"/>
    <w:rsid w:val="00346A72"/>
    <w:rsid w:val="003607F0"/>
    <w:rsid w:val="00363201"/>
    <w:rsid w:val="0039063C"/>
    <w:rsid w:val="00391BD8"/>
    <w:rsid w:val="00395555"/>
    <w:rsid w:val="003A46A8"/>
    <w:rsid w:val="003A51AA"/>
    <w:rsid w:val="003B565A"/>
    <w:rsid w:val="003D00A1"/>
    <w:rsid w:val="003E1B2C"/>
    <w:rsid w:val="003F1E4E"/>
    <w:rsid w:val="0041427F"/>
    <w:rsid w:val="00434E0D"/>
    <w:rsid w:val="004364F2"/>
    <w:rsid w:val="004509E5"/>
    <w:rsid w:val="00451FB5"/>
    <w:rsid w:val="004610D4"/>
    <w:rsid w:val="0048404A"/>
    <w:rsid w:val="00486FB9"/>
    <w:rsid w:val="00496532"/>
    <w:rsid w:val="004B7298"/>
    <w:rsid w:val="004C212A"/>
    <w:rsid w:val="004D07FB"/>
    <w:rsid w:val="00500232"/>
    <w:rsid w:val="00504668"/>
    <w:rsid w:val="00507B8E"/>
    <w:rsid w:val="00510ABF"/>
    <w:rsid w:val="005455E1"/>
    <w:rsid w:val="005502BD"/>
    <w:rsid w:val="005506AF"/>
    <w:rsid w:val="00551168"/>
    <w:rsid w:val="00556787"/>
    <w:rsid w:val="00575AF5"/>
    <w:rsid w:val="00581141"/>
    <w:rsid w:val="00582276"/>
    <w:rsid w:val="005C2560"/>
    <w:rsid w:val="005D797D"/>
    <w:rsid w:val="005F7585"/>
    <w:rsid w:val="00605759"/>
    <w:rsid w:val="00650C6C"/>
    <w:rsid w:val="00652FE6"/>
    <w:rsid w:val="00655C1C"/>
    <w:rsid w:val="00667898"/>
    <w:rsid w:val="00677FE0"/>
    <w:rsid w:val="00683B4C"/>
    <w:rsid w:val="006A06CE"/>
    <w:rsid w:val="006B1942"/>
    <w:rsid w:val="006C540D"/>
    <w:rsid w:val="006D04EF"/>
    <w:rsid w:val="006D42C6"/>
    <w:rsid w:val="006E2FB0"/>
    <w:rsid w:val="006E7236"/>
    <w:rsid w:val="007102D2"/>
    <w:rsid w:val="00713948"/>
    <w:rsid w:val="00720F15"/>
    <w:rsid w:val="00725427"/>
    <w:rsid w:val="00753A27"/>
    <w:rsid w:val="00766BDD"/>
    <w:rsid w:val="0079342A"/>
    <w:rsid w:val="007B4949"/>
    <w:rsid w:val="007F0BC6"/>
    <w:rsid w:val="007F0D15"/>
    <w:rsid w:val="00802CF4"/>
    <w:rsid w:val="00831374"/>
    <w:rsid w:val="008371C7"/>
    <w:rsid w:val="00857580"/>
    <w:rsid w:val="00865238"/>
    <w:rsid w:val="008667BF"/>
    <w:rsid w:val="00875118"/>
    <w:rsid w:val="00895645"/>
    <w:rsid w:val="008A7851"/>
    <w:rsid w:val="008C3782"/>
    <w:rsid w:val="008D4A32"/>
    <w:rsid w:val="008D593A"/>
    <w:rsid w:val="008E7760"/>
    <w:rsid w:val="00922001"/>
    <w:rsid w:val="00922C17"/>
    <w:rsid w:val="00942834"/>
    <w:rsid w:val="00942DDD"/>
    <w:rsid w:val="009516A8"/>
    <w:rsid w:val="0097705C"/>
    <w:rsid w:val="009853D0"/>
    <w:rsid w:val="009E1D27"/>
    <w:rsid w:val="009F393D"/>
    <w:rsid w:val="009F7F46"/>
    <w:rsid w:val="00A000BF"/>
    <w:rsid w:val="00A0587E"/>
    <w:rsid w:val="00A275BC"/>
    <w:rsid w:val="00A36DF9"/>
    <w:rsid w:val="00A464B4"/>
    <w:rsid w:val="00A46E42"/>
    <w:rsid w:val="00A63D6B"/>
    <w:rsid w:val="00A84B52"/>
    <w:rsid w:val="00A8660F"/>
    <w:rsid w:val="00A95C48"/>
    <w:rsid w:val="00AA7056"/>
    <w:rsid w:val="00AB31C6"/>
    <w:rsid w:val="00AB523B"/>
    <w:rsid w:val="00AD7E40"/>
    <w:rsid w:val="00B1477A"/>
    <w:rsid w:val="00B20993"/>
    <w:rsid w:val="00B42E96"/>
    <w:rsid w:val="00B50EE6"/>
    <w:rsid w:val="00B52185"/>
    <w:rsid w:val="00B60B5D"/>
    <w:rsid w:val="00B9753A"/>
    <w:rsid w:val="00BB2AB2"/>
    <w:rsid w:val="00BB479C"/>
    <w:rsid w:val="00BC4720"/>
    <w:rsid w:val="00BD75A2"/>
    <w:rsid w:val="00BF0D56"/>
    <w:rsid w:val="00C2017A"/>
    <w:rsid w:val="00C2026B"/>
    <w:rsid w:val="00C20470"/>
    <w:rsid w:val="00C34B2F"/>
    <w:rsid w:val="00C4641B"/>
    <w:rsid w:val="00C56A65"/>
    <w:rsid w:val="00C6690E"/>
    <w:rsid w:val="00C703C5"/>
    <w:rsid w:val="00C805F2"/>
    <w:rsid w:val="00C96EFE"/>
    <w:rsid w:val="00CA1334"/>
    <w:rsid w:val="00CC5E40"/>
    <w:rsid w:val="00CD5FBB"/>
    <w:rsid w:val="00CE011D"/>
    <w:rsid w:val="00D1569F"/>
    <w:rsid w:val="00D20B1E"/>
    <w:rsid w:val="00D22462"/>
    <w:rsid w:val="00D230AC"/>
    <w:rsid w:val="00D275DB"/>
    <w:rsid w:val="00D32489"/>
    <w:rsid w:val="00D33042"/>
    <w:rsid w:val="00D3349E"/>
    <w:rsid w:val="00D52954"/>
    <w:rsid w:val="00D73CB8"/>
    <w:rsid w:val="00D84C8F"/>
    <w:rsid w:val="00DA7591"/>
    <w:rsid w:val="00DB692D"/>
    <w:rsid w:val="00E06040"/>
    <w:rsid w:val="00E062C7"/>
    <w:rsid w:val="00E32798"/>
    <w:rsid w:val="00E33CC8"/>
    <w:rsid w:val="00E47FEA"/>
    <w:rsid w:val="00E51C91"/>
    <w:rsid w:val="00E667C1"/>
    <w:rsid w:val="00E74DEA"/>
    <w:rsid w:val="00EA284C"/>
    <w:rsid w:val="00EC3F88"/>
    <w:rsid w:val="00ED36D8"/>
    <w:rsid w:val="00EE6BD7"/>
    <w:rsid w:val="00F0689D"/>
    <w:rsid w:val="00F06F0D"/>
    <w:rsid w:val="00F52E28"/>
    <w:rsid w:val="00F9172C"/>
    <w:rsid w:val="00FB01B5"/>
    <w:rsid w:val="00FB4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67C0CA"/>
  <w15:chartTrackingRefBased/>
  <w15:docId w15:val="{05A5A688-B992-482D-B010-75566BB63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7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nhideWhenUsed="1" w:qFormat="1"/>
    <w:lsdException w:name="Bibliography" w:semiHidden="1" w:uiPriority="3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587E"/>
    <w:pPr>
      <w:spacing w:after="160" w:line="293" w:lineRule="auto"/>
    </w:pPr>
    <w:rPr>
      <w:color w:val="000000" w:themeColor="text1"/>
    </w:rPr>
  </w:style>
  <w:style w:type="paragraph" w:styleId="Nadpis1">
    <w:name w:val="heading 1"/>
    <w:basedOn w:val="Normln"/>
    <w:link w:val="Nadpis1Char"/>
    <w:autoRedefine/>
    <w:uiPriority w:val="9"/>
    <w:qFormat/>
    <w:rsid w:val="003607F0"/>
    <w:pPr>
      <w:numPr>
        <w:numId w:val="50"/>
      </w:numPr>
      <w:spacing w:after="0" w:line="360" w:lineRule="auto"/>
      <w:ind w:left="142" w:hanging="142"/>
      <w:jc w:val="center"/>
      <w:outlineLvl w:val="0"/>
    </w:pPr>
    <w:rPr>
      <w:rFonts w:ascii="Calibri" w:eastAsia="Times New Roman" w:hAnsi="Calibri" w:cs="Times New Roman"/>
      <w:b/>
      <w:bCs/>
      <w:caps/>
      <w:color w:val="auto"/>
      <w:kern w:val="36"/>
      <w:sz w:val="32"/>
      <w:szCs w:val="48"/>
      <w:lang w:eastAsia="cs-CZ"/>
    </w:rPr>
  </w:style>
  <w:style w:type="paragraph" w:styleId="Nadpis2">
    <w:name w:val="heading 2"/>
    <w:basedOn w:val="Normln"/>
    <w:next w:val="Normln"/>
    <w:link w:val="Nadpis2Char"/>
    <w:autoRedefine/>
    <w:uiPriority w:val="9"/>
    <w:unhideWhenUsed/>
    <w:qFormat/>
    <w:rsid w:val="00434E0D"/>
    <w:pPr>
      <w:keepNext/>
      <w:keepLines/>
      <w:numPr>
        <w:ilvl w:val="1"/>
        <w:numId w:val="50"/>
      </w:numPr>
      <w:spacing w:before="40" w:after="0" w:line="360" w:lineRule="auto"/>
      <w:outlineLvl w:val="1"/>
    </w:pPr>
    <w:rPr>
      <w:rFonts w:eastAsiaTheme="majorEastAsia" w:cstheme="majorBidi"/>
      <w:color w:val="auto"/>
      <w:sz w:val="28"/>
      <w:szCs w:val="26"/>
    </w:rPr>
  </w:style>
  <w:style w:type="paragraph" w:styleId="Nadpis3">
    <w:name w:val="heading 3"/>
    <w:basedOn w:val="Normln"/>
    <w:next w:val="Normln"/>
    <w:link w:val="Nadpis3Char"/>
    <w:autoRedefine/>
    <w:uiPriority w:val="9"/>
    <w:unhideWhenUsed/>
    <w:qFormat/>
    <w:rsid w:val="00391BD8"/>
    <w:pPr>
      <w:keepNext/>
      <w:keepLines/>
      <w:numPr>
        <w:ilvl w:val="2"/>
        <w:numId w:val="50"/>
      </w:numPr>
      <w:overflowPunct w:val="0"/>
      <w:autoSpaceDE w:val="0"/>
      <w:autoSpaceDN w:val="0"/>
      <w:adjustRightInd w:val="0"/>
      <w:spacing w:before="40" w:after="0" w:line="240" w:lineRule="auto"/>
      <w:textAlignment w:val="baseline"/>
      <w:outlineLvl w:val="2"/>
    </w:pPr>
    <w:rPr>
      <w:rFonts w:eastAsiaTheme="majorEastAsia" w:cstheme="majorBidi"/>
      <w:b/>
      <w:color w:val="auto"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391BD8"/>
    <w:pPr>
      <w:keepNext/>
      <w:keepLines/>
      <w:numPr>
        <w:ilvl w:val="3"/>
        <w:numId w:val="5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sz w:val="24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91BD8"/>
    <w:pPr>
      <w:keepNext/>
      <w:keepLines/>
      <w:numPr>
        <w:ilvl w:val="4"/>
        <w:numId w:val="50"/>
      </w:numPr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391BD8"/>
    <w:pPr>
      <w:keepNext/>
      <w:keepLines/>
      <w:numPr>
        <w:ilvl w:val="5"/>
        <w:numId w:val="50"/>
      </w:numPr>
      <w:spacing w:before="40" w:after="0"/>
      <w:outlineLvl w:val="5"/>
    </w:pPr>
    <w:rPr>
      <w:rFonts w:asciiTheme="majorHAnsi" w:eastAsiaTheme="majorEastAsia" w:hAnsiTheme="majorHAnsi" w:cstheme="majorBidi"/>
      <w:i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391BD8"/>
    <w:pPr>
      <w:keepNext/>
      <w:keepLines/>
      <w:numPr>
        <w:ilvl w:val="6"/>
        <w:numId w:val="50"/>
      </w:numPr>
      <w:spacing w:before="4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391BD8"/>
    <w:pPr>
      <w:keepNext/>
      <w:keepLines/>
      <w:numPr>
        <w:ilvl w:val="7"/>
        <w:numId w:val="50"/>
      </w:numPr>
      <w:spacing w:before="40" w:after="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391BD8"/>
    <w:pPr>
      <w:keepNext/>
      <w:keepLines/>
      <w:numPr>
        <w:ilvl w:val="8"/>
        <w:numId w:val="5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Nad,Odstavec cíl se seznamem,Odstavec se seznamem5,Conclusion de partie,_Odstavec se seznamem,Seznam - odrážky,Fiche List Paragraph,List Paragraph (Czech Tourism),Název grafu,nad 1,Odstavec se seznamem2,List Paragraph,Odstavec_muj1"/>
    <w:basedOn w:val="Normln"/>
    <w:link w:val="OdstavecseseznamemChar"/>
    <w:uiPriority w:val="35"/>
    <w:unhideWhenUsed/>
    <w:qFormat/>
    <w:rsid w:val="009F7F46"/>
    <w:pPr>
      <w:ind w:left="720"/>
      <w:contextualSpacing/>
    </w:pPr>
  </w:style>
  <w:style w:type="numbering" w:customStyle="1" w:styleId="VariantaB-odrky">
    <w:name w:val="Varianta B - odrážky"/>
    <w:uiPriority w:val="99"/>
    <w:rsid w:val="007102D2"/>
    <w:pPr>
      <w:numPr>
        <w:numId w:val="1"/>
      </w:numPr>
    </w:pPr>
  </w:style>
  <w:style w:type="character" w:customStyle="1" w:styleId="Nadpis1Char">
    <w:name w:val="Nadpis 1 Char"/>
    <w:basedOn w:val="Standardnpsmoodstavce"/>
    <w:link w:val="Nadpis1"/>
    <w:uiPriority w:val="9"/>
    <w:rsid w:val="003607F0"/>
    <w:rPr>
      <w:rFonts w:ascii="Calibri" w:eastAsia="Times New Roman" w:hAnsi="Calibri" w:cs="Times New Roman"/>
      <w:b/>
      <w:bCs/>
      <w:caps/>
      <w:kern w:val="36"/>
      <w:sz w:val="32"/>
      <w:szCs w:val="48"/>
      <w:lang w:eastAsia="cs-CZ"/>
    </w:rPr>
  </w:style>
  <w:style w:type="numbering" w:customStyle="1" w:styleId="VariantaA-odrky">
    <w:name w:val="Varianta A - odrážky"/>
    <w:uiPriority w:val="99"/>
    <w:rsid w:val="00262DAF"/>
    <w:pPr>
      <w:numPr>
        <w:numId w:val="2"/>
      </w:numPr>
    </w:pPr>
  </w:style>
  <w:style w:type="character" w:customStyle="1" w:styleId="Nadpis2Char">
    <w:name w:val="Nadpis 2 Char"/>
    <w:basedOn w:val="Standardnpsmoodstavce"/>
    <w:link w:val="Nadpis2"/>
    <w:uiPriority w:val="9"/>
    <w:rsid w:val="00434E0D"/>
    <w:rPr>
      <w:rFonts w:eastAsiaTheme="majorEastAsia" w:cstheme="majorBidi"/>
      <w:sz w:val="28"/>
      <w:szCs w:val="26"/>
    </w:rPr>
  </w:style>
  <w:style w:type="numbering" w:customStyle="1" w:styleId="VariantaA-sla">
    <w:name w:val="Varianta A - čísla"/>
    <w:uiPriority w:val="99"/>
    <w:rsid w:val="00B50EE6"/>
    <w:pPr>
      <w:numPr>
        <w:numId w:val="20"/>
      </w:numPr>
    </w:pPr>
  </w:style>
  <w:style w:type="numbering" w:customStyle="1" w:styleId="VariantaB-sla">
    <w:name w:val="Varianta B - čísla"/>
    <w:uiPriority w:val="99"/>
    <w:rsid w:val="009F7F46"/>
    <w:pPr>
      <w:numPr>
        <w:numId w:val="6"/>
      </w:numPr>
    </w:pPr>
  </w:style>
  <w:style w:type="character" w:customStyle="1" w:styleId="Nadpis3Char">
    <w:name w:val="Nadpis 3 Char"/>
    <w:basedOn w:val="Standardnpsmoodstavce"/>
    <w:link w:val="Nadpis3"/>
    <w:uiPriority w:val="9"/>
    <w:rsid w:val="00391BD8"/>
    <w:rPr>
      <w:rFonts w:eastAsiaTheme="majorEastAsia" w:cstheme="majorBidi"/>
      <w:b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uiPriority w:val="7"/>
    <w:rsid w:val="003250CB"/>
    <w:rPr>
      <w:rFonts w:asciiTheme="majorHAnsi" w:eastAsiaTheme="majorEastAsia" w:hAnsiTheme="majorHAnsi" w:cstheme="majorBidi"/>
      <w:i/>
      <w:iCs/>
      <w:color w:val="000000" w:themeColor="text1"/>
      <w:sz w:val="24"/>
    </w:rPr>
  </w:style>
  <w:style w:type="character" w:customStyle="1" w:styleId="Nadpis5Char">
    <w:name w:val="Nadpis 5 Char"/>
    <w:basedOn w:val="Standardnpsmoodstavce"/>
    <w:link w:val="Nadpis5"/>
    <w:uiPriority w:val="7"/>
    <w:rsid w:val="003250CB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6Char">
    <w:name w:val="Nadpis 6 Char"/>
    <w:basedOn w:val="Standardnpsmoodstavce"/>
    <w:link w:val="Nadpis6"/>
    <w:uiPriority w:val="7"/>
    <w:rsid w:val="003250CB"/>
    <w:rPr>
      <w:rFonts w:asciiTheme="majorHAnsi" w:eastAsiaTheme="majorEastAsia" w:hAnsiTheme="majorHAnsi" w:cstheme="majorBidi"/>
      <w:i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7"/>
    <w:rsid w:val="003250CB"/>
    <w:rPr>
      <w:rFonts w:asciiTheme="majorHAnsi" w:eastAsiaTheme="majorEastAsia" w:hAnsiTheme="majorHAnsi" w:cstheme="majorBidi"/>
      <w:iCs/>
      <w:color w:val="000000" w:themeColor="text1"/>
    </w:rPr>
  </w:style>
  <w:style w:type="character" w:customStyle="1" w:styleId="Nadpis8Char">
    <w:name w:val="Nadpis 8 Char"/>
    <w:basedOn w:val="Standardnpsmoodstavce"/>
    <w:link w:val="Nadpis8"/>
    <w:uiPriority w:val="7"/>
    <w:rsid w:val="003250CB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Nadpis9Char">
    <w:name w:val="Nadpis 9 Char"/>
    <w:basedOn w:val="Standardnpsmoodstavce"/>
    <w:link w:val="Nadpis9"/>
    <w:uiPriority w:val="7"/>
    <w:rsid w:val="00325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zev">
    <w:name w:val="Title"/>
    <w:basedOn w:val="Normln"/>
    <w:next w:val="Normln"/>
    <w:link w:val="NzevChar"/>
    <w:uiPriority w:val="4"/>
    <w:qFormat/>
    <w:rsid w:val="00A63D6B"/>
    <w:pPr>
      <w:keepNext/>
      <w:keepLine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48"/>
      <w:szCs w:val="56"/>
    </w:rPr>
  </w:style>
  <w:style w:type="character" w:customStyle="1" w:styleId="NzevChar">
    <w:name w:val="Název Char"/>
    <w:basedOn w:val="Standardnpsmoodstavce"/>
    <w:link w:val="Nzev"/>
    <w:uiPriority w:val="4"/>
    <w:rsid w:val="003250CB"/>
    <w:rPr>
      <w:rFonts w:asciiTheme="majorHAnsi" w:eastAsiaTheme="majorEastAsia" w:hAnsiTheme="majorHAnsi" w:cstheme="majorBidi"/>
      <w:color w:val="000000" w:themeColor="text1"/>
      <w:spacing w:val="-10"/>
      <w:kern w:val="28"/>
      <w:sz w:val="48"/>
      <w:szCs w:val="56"/>
    </w:rPr>
  </w:style>
  <w:style w:type="character" w:styleId="Zdraznnintenzivn">
    <w:name w:val="Intense Emphasis"/>
    <w:basedOn w:val="Standardnpsmoodstavce"/>
    <w:uiPriority w:val="21"/>
    <w:qFormat/>
    <w:rsid w:val="00EE6BD7"/>
    <w:rPr>
      <w:b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28"/>
    <w:qFormat/>
    <w:rsid w:val="00713948"/>
    <w:pPr>
      <w:keepLines/>
      <w:pBdr>
        <w:top w:val="single" w:sz="4" w:space="10" w:color="000000" w:themeColor="text1"/>
        <w:bottom w:val="single" w:sz="4" w:space="10" w:color="000000" w:themeColor="text1"/>
      </w:pBdr>
      <w:spacing w:before="240" w:after="240"/>
      <w:ind w:left="357" w:right="357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28"/>
    <w:rsid w:val="00713948"/>
    <w:rPr>
      <w:i/>
      <w:iCs/>
      <w:color w:val="000000" w:themeColor="text1"/>
    </w:rPr>
  </w:style>
  <w:style w:type="character" w:styleId="Odkazintenzivn">
    <w:name w:val="Intense Reference"/>
    <w:basedOn w:val="Standardnpsmoodstavce"/>
    <w:uiPriority w:val="24"/>
    <w:qFormat/>
    <w:rsid w:val="0039063C"/>
    <w:rPr>
      <w:b/>
      <w:bCs/>
      <w:smallCaps/>
      <w:color w:val="000000" w:themeColor="text1"/>
      <w:spacing w:val="5"/>
    </w:rPr>
  </w:style>
  <w:style w:type="paragraph" w:styleId="slovanseznam">
    <w:name w:val="List Number"/>
    <w:aliases w:val="Číslovaný seznam A"/>
    <w:basedOn w:val="Normln"/>
    <w:uiPriority w:val="15"/>
    <w:qFormat/>
    <w:rsid w:val="001B1E4A"/>
    <w:pPr>
      <w:numPr>
        <w:numId w:val="33"/>
      </w:numPr>
      <w:spacing w:after="0"/>
    </w:pPr>
  </w:style>
  <w:style w:type="paragraph" w:styleId="slovanseznam2">
    <w:name w:val="List Number 2"/>
    <w:aliases w:val="Číslovaný seznam A 2"/>
    <w:basedOn w:val="Normln"/>
    <w:uiPriority w:val="15"/>
    <w:qFormat/>
    <w:rsid w:val="001B1E4A"/>
    <w:pPr>
      <w:numPr>
        <w:ilvl w:val="1"/>
        <w:numId w:val="33"/>
      </w:numPr>
      <w:spacing w:after="0"/>
      <w:contextualSpacing/>
    </w:pPr>
  </w:style>
  <w:style w:type="paragraph" w:styleId="slovanseznam3">
    <w:name w:val="List Number 3"/>
    <w:aliases w:val="Číslovaný seznam A 3"/>
    <w:basedOn w:val="Normln"/>
    <w:uiPriority w:val="15"/>
    <w:qFormat/>
    <w:rsid w:val="001B1E4A"/>
    <w:pPr>
      <w:numPr>
        <w:ilvl w:val="2"/>
        <w:numId w:val="33"/>
      </w:numPr>
      <w:spacing w:after="0"/>
      <w:contextualSpacing/>
    </w:pPr>
  </w:style>
  <w:style w:type="paragraph" w:styleId="slovanseznam4">
    <w:name w:val="List Number 4"/>
    <w:aliases w:val="Číslovaný seznam A 4"/>
    <w:basedOn w:val="Normln"/>
    <w:uiPriority w:val="15"/>
    <w:qFormat/>
    <w:rsid w:val="001B1E4A"/>
    <w:pPr>
      <w:numPr>
        <w:ilvl w:val="3"/>
        <w:numId w:val="33"/>
      </w:numPr>
      <w:spacing w:after="0"/>
      <w:contextualSpacing/>
    </w:pPr>
  </w:style>
  <w:style w:type="paragraph" w:styleId="slovanseznam5">
    <w:name w:val="List Number 5"/>
    <w:aliases w:val="Číslovaný seznam A 5"/>
    <w:basedOn w:val="Normln"/>
    <w:uiPriority w:val="15"/>
    <w:qFormat/>
    <w:rsid w:val="001B1E4A"/>
    <w:pPr>
      <w:numPr>
        <w:ilvl w:val="4"/>
        <w:numId w:val="33"/>
      </w:numPr>
      <w:spacing w:after="0"/>
      <w:contextualSpacing/>
    </w:pPr>
  </w:style>
  <w:style w:type="paragraph" w:customStyle="1" w:styleId="slovanseznamB">
    <w:name w:val="Číslovaný seznam B"/>
    <w:basedOn w:val="Normln"/>
    <w:uiPriority w:val="16"/>
    <w:qFormat/>
    <w:rsid w:val="009F7F46"/>
    <w:pPr>
      <w:numPr>
        <w:numId w:val="31"/>
      </w:numPr>
      <w:spacing w:after="0"/>
    </w:pPr>
  </w:style>
  <w:style w:type="paragraph" w:customStyle="1" w:styleId="slovanseznamB2">
    <w:name w:val="Číslovaný seznam B 2"/>
    <w:basedOn w:val="Normln"/>
    <w:uiPriority w:val="16"/>
    <w:qFormat/>
    <w:rsid w:val="009F7F46"/>
    <w:pPr>
      <w:numPr>
        <w:ilvl w:val="1"/>
        <w:numId w:val="31"/>
      </w:numPr>
      <w:spacing w:after="0"/>
    </w:pPr>
  </w:style>
  <w:style w:type="paragraph" w:customStyle="1" w:styleId="slovanseznamB3">
    <w:name w:val="Číslovaný seznam B 3"/>
    <w:basedOn w:val="Normln"/>
    <w:uiPriority w:val="16"/>
    <w:qFormat/>
    <w:rsid w:val="009F7F46"/>
    <w:pPr>
      <w:numPr>
        <w:ilvl w:val="2"/>
        <w:numId w:val="31"/>
      </w:numPr>
      <w:spacing w:after="0"/>
    </w:pPr>
  </w:style>
  <w:style w:type="paragraph" w:customStyle="1" w:styleId="slovanseznamB4">
    <w:name w:val="Číslovaný seznam B 4"/>
    <w:basedOn w:val="Normln"/>
    <w:uiPriority w:val="16"/>
    <w:qFormat/>
    <w:rsid w:val="009F7F46"/>
    <w:pPr>
      <w:numPr>
        <w:ilvl w:val="3"/>
        <w:numId w:val="31"/>
      </w:numPr>
      <w:spacing w:after="0"/>
    </w:pPr>
  </w:style>
  <w:style w:type="paragraph" w:customStyle="1" w:styleId="slovanseznamB5">
    <w:name w:val="Číslovaný seznam B 5"/>
    <w:basedOn w:val="Normln"/>
    <w:uiPriority w:val="16"/>
    <w:qFormat/>
    <w:rsid w:val="009F7F46"/>
    <w:pPr>
      <w:numPr>
        <w:ilvl w:val="4"/>
        <w:numId w:val="31"/>
      </w:numPr>
      <w:spacing w:after="0"/>
    </w:pPr>
  </w:style>
  <w:style w:type="paragraph" w:styleId="Seznamsodrkami3">
    <w:name w:val="List Bullet 3"/>
    <w:aliases w:val="Seznam s odrážkami A 3"/>
    <w:basedOn w:val="Normln"/>
    <w:uiPriority w:val="10"/>
    <w:qFormat/>
    <w:rsid w:val="00262DAF"/>
    <w:pPr>
      <w:numPr>
        <w:ilvl w:val="2"/>
        <w:numId w:val="32"/>
      </w:numPr>
      <w:spacing w:after="0"/>
      <w:contextualSpacing/>
    </w:pPr>
  </w:style>
  <w:style w:type="paragraph" w:styleId="Seznamsodrkami4">
    <w:name w:val="List Bullet 4"/>
    <w:aliases w:val="Seznam s odrážkami A 4"/>
    <w:basedOn w:val="Normln"/>
    <w:uiPriority w:val="10"/>
    <w:qFormat/>
    <w:rsid w:val="00262DAF"/>
    <w:pPr>
      <w:numPr>
        <w:ilvl w:val="3"/>
        <w:numId w:val="32"/>
      </w:numPr>
      <w:spacing w:after="0"/>
      <w:contextualSpacing/>
    </w:pPr>
  </w:style>
  <w:style w:type="paragraph" w:styleId="Seznamsodrkami5">
    <w:name w:val="List Bullet 5"/>
    <w:aliases w:val="Seznam s odrážkami A 5"/>
    <w:basedOn w:val="Normln"/>
    <w:uiPriority w:val="10"/>
    <w:qFormat/>
    <w:rsid w:val="00262DAF"/>
    <w:pPr>
      <w:numPr>
        <w:ilvl w:val="4"/>
        <w:numId w:val="32"/>
      </w:numPr>
      <w:spacing w:after="0"/>
    </w:pPr>
  </w:style>
  <w:style w:type="paragraph" w:styleId="Seznamsodrkami">
    <w:name w:val="List Bullet"/>
    <w:aliases w:val="Seznam s odrážkami A"/>
    <w:basedOn w:val="Normln"/>
    <w:uiPriority w:val="10"/>
    <w:qFormat/>
    <w:rsid w:val="00262DAF"/>
    <w:pPr>
      <w:numPr>
        <w:numId w:val="32"/>
      </w:numPr>
      <w:spacing w:after="0"/>
      <w:contextualSpacing/>
    </w:pPr>
  </w:style>
  <w:style w:type="paragraph" w:styleId="Seznamsodrkami2">
    <w:name w:val="List Bullet 2"/>
    <w:aliases w:val="Seznam s odrážkami A 2"/>
    <w:basedOn w:val="Normln"/>
    <w:uiPriority w:val="10"/>
    <w:qFormat/>
    <w:rsid w:val="00262DAF"/>
    <w:pPr>
      <w:numPr>
        <w:ilvl w:val="1"/>
        <w:numId w:val="32"/>
      </w:numPr>
      <w:spacing w:after="0"/>
      <w:contextualSpacing/>
    </w:pPr>
  </w:style>
  <w:style w:type="paragraph" w:customStyle="1" w:styleId="Nadpis1-mimoobsah">
    <w:name w:val="Nadpis 1 - mimo obsah"/>
    <w:basedOn w:val="Normln"/>
    <w:next w:val="Normln"/>
    <w:uiPriority w:val="8"/>
    <w:qFormat/>
    <w:rsid w:val="00831374"/>
    <w:pPr>
      <w:keepNext/>
      <w:keepLines/>
      <w:spacing w:before="160" w:after="0"/>
    </w:pPr>
    <w:rPr>
      <w:rFonts w:asciiTheme="majorHAnsi" w:hAnsiTheme="majorHAnsi"/>
      <w:b/>
      <w:sz w:val="28"/>
    </w:rPr>
  </w:style>
  <w:style w:type="paragraph" w:customStyle="1" w:styleId="Nadpis2-mimoobsah">
    <w:name w:val="Nadpis 2 - mimo obsah"/>
    <w:basedOn w:val="Normln"/>
    <w:next w:val="Normln"/>
    <w:uiPriority w:val="8"/>
    <w:qFormat/>
    <w:rsid w:val="00AB523B"/>
    <w:pPr>
      <w:keepNext/>
      <w:keepLines/>
      <w:spacing w:before="80" w:after="0"/>
    </w:pPr>
    <w:rPr>
      <w:rFonts w:asciiTheme="majorHAnsi" w:hAnsiTheme="majorHAnsi"/>
      <w:b/>
      <w:sz w:val="26"/>
    </w:rPr>
  </w:style>
  <w:style w:type="paragraph" w:customStyle="1" w:styleId="Nadpis3-mimoobsah">
    <w:name w:val="Nadpis 3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  <w:sz w:val="24"/>
    </w:rPr>
  </w:style>
  <w:style w:type="paragraph" w:customStyle="1" w:styleId="Nadpis4-mimoobsah">
    <w:name w:val="Nadpis 4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i/>
      <w:sz w:val="24"/>
    </w:rPr>
  </w:style>
  <w:style w:type="paragraph" w:customStyle="1" w:styleId="Nadpis5-mimoobsah">
    <w:name w:val="Nadpis 5 -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  <w:b/>
    </w:rPr>
  </w:style>
  <w:style w:type="paragraph" w:customStyle="1" w:styleId="Nadpis7mimoobsah">
    <w:name w:val="Nadpis 7 mimo obsah"/>
    <w:basedOn w:val="Normln"/>
    <w:next w:val="Normln"/>
    <w:uiPriority w:val="8"/>
    <w:qFormat/>
    <w:rsid w:val="00BB479C"/>
    <w:pPr>
      <w:keepNext/>
      <w:keepLines/>
      <w:spacing w:before="40" w:after="0"/>
    </w:pPr>
    <w:rPr>
      <w:rFonts w:asciiTheme="majorHAnsi" w:hAnsiTheme="majorHAnsi"/>
    </w:rPr>
  </w:style>
  <w:style w:type="paragraph" w:customStyle="1" w:styleId="Nadpis6mimoobsah">
    <w:name w:val="Nadpis 6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</w:rPr>
  </w:style>
  <w:style w:type="paragraph" w:customStyle="1" w:styleId="Nadpis8mimoobsah">
    <w:name w:val="Nadpis 8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b/>
      <w:sz w:val="21"/>
      <w:szCs w:val="21"/>
    </w:rPr>
  </w:style>
  <w:style w:type="paragraph" w:customStyle="1" w:styleId="Nadpis9mimoobsah">
    <w:name w:val="Nadpis 9 mimo obsah"/>
    <w:basedOn w:val="Normln"/>
    <w:next w:val="Normln"/>
    <w:uiPriority w:val="8"/>
    <w:qFormat/>
    <w:rsid w:val="00A95C48"/>
    <w:pPr>
      <w:keepNext/>
      <w:keepLines/>
      <w:spacing w:before="40" w:after="0"/>
    </w:pPr>
    <w:rPr>
      <w:rFonts w:asciiTheme="majorHAnsi" w:hAnsiTheme="majorHAnsi"/>
      <w:i/>
      <w:sz w:val="21"/>
      <w:szCs w:val="21"/>
    </w:rPr>
  </w:style>
  <w:style w:type="paragraph" w:styleId="Podnadpis">
    <w:name w:val="Subtitle"/>
    <w:basedOn w:val="Normln"/>
    <w:next w:val="Normln"/>
    <w:link w:val="PodnadpisChar"/>
    <w:uiPriority w:val="5"/>
    <w:qFormat/>
    <w:rsid w:val="008D4A32"/>
    <w:pPr>
      <w:numPr>
        <w:ilvl w:val="1"/>
      </w:numPr>
    </w:pPr>
    <w:rPr>
      <w:rFonts w:eastAsiaTheme="minorEastAsia"/>
      <w:color w:val="595959" w:themeColor="text1" w:themeTint="A6"/>
      <w:spacing w:val="15"/>
      <w:sz w:val="28"/>
    </w:rPr>
  </w:style>
  <w:style w:type="character" w:customStyle="1" w:styleId="PodnadpisChar">
    <w:name w:val="Podnadpis Char"/>
    <w:basedOn w:val="Standardnpsmoodstavce"/>
    <w:link w:val="Podnadpis"/>
    <w:uiPriority w:val="5"/>
    <w:rsid w:val="003250CB"/>
    <w:rPr>
      <w:rFonts w:eastAsiaTheme="minorEastAsia"/>
      <w:color w:val="595959" w:themeColor="text1" w:themeTint="A6"/>
      <w:spacing w:val="15"/>
      <w:sz w:val="28"/>
    </w:rPr>
  </w:style>
  <w:style w:type="paragraph" w:styleId="Obsah1">
    <w:name w:val="toc 1"/>
    <w:basedOn w:val="Normln"/>
    <w:next w:val="Normln"/>
    <w:autoRedefine/>
    <w:uiPriority w:val="39"/>
    <w:unhideWhenUsed/>
    <w:rsid w:val="00D22462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D22462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D22462"/>
    <w:pPr>
      <w:spacing w:after="100"/>
      <w:ind w:left="440"/>
    </w:pPr>
  </w:style>
  <w:style w:type="paragraph" w:styleId="Obsah4">
    <w:name w:val="toc 4"/>
    <w:basedOn w:val="Normln"/>
    <w:next w:val="Normln"/>
    <w:autoRedefine/>
    <w:uiPriority w:val="39"/>
    <w:unhideWhenUsed/>
    <w:rsid w:val="00D22462"/>
    <w:pPr>
      <w:spacing w:after="100"/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22462"/>
    <w:pPr>
      <w:spacing w:after="100"/>
      <w:ind w:left="880"/>
    </w:pPr>
  </w:style>
  <w:style w:type="paragraph" w:styleId="Obsah6">
    <w:name w:val="toc 6"/>
    <w:basedOn w:val="Normln"/>
    <w:next w:val="Normln"/>
    <w:autoRedefine/>
    <w:uiPriority w:val="39"/>
    <w:unhideWhenUsed/>
    <w:rsid w:val="00D22462"/>
    <w:pPr>
      <w:spacing w:after="100"/>
      <w:ind w:left="1100"/>
    </w:pPr>
  </w:style>
  <w:style w:type="paragraph" w:styleId="Obsah7">
    <w:name w:val="toc 7"/>
    <w:basedOn w:val="Normln"/>
    <w:next w:val="Normln"/>
    <w:autoRedefine/>
    <w:uiPriority w:val="39"/>
    <w:unhideWhenUsed/>
    <w:rsid w:val="00D22462"/>
    <w:pPr>
      <w:spacing w:after="100"/>
      <w:ind w:left="1320"/>
    </w:pPr>
  </w:style>
  <w:style w:type="paragraph" w:styleId="Obsah8">
    <w:name w:val="toc 8"/>
    <w:basedOn w:val="Normln"/>
    <w:next w:val="Normln"/>
    <w:autoRedefine/>
    <w:uiPriority w:val="39"/>
    <w:unhideWhenUsed/>
    <w:rsid w:val="00D22462"/>
    <w:pPr>
      <w:spacing w:after="100"/>
      <w:ind w:left="1540"/>
    </w:pPr>
  </w:style>
  <w:style w:type="paragraph" w:styleId="Obsah9">
    <w:name w:val="toc 9"/>
    <w:basedOn w:val="Normln"/>
    <w:next w:val="Normln"/>
    <w:autoRedefine/>
    <w:uiPriority w:val="39"/>
    <w:unhideWhenUsed/>
    <w:rsid w:val="00D22462"/>
    <w:pPr>
      <w:spacing w:after="100"/>
      <w:ind w:left="1760"/>
    </w:pPr>
  </w:style>
  <w:style w:type="character" w:styleId="Hypertextovodkaz">
    <w:name w:val="Hyperlink"/>
    <w:basedOn w:val="Standardnpsmoodstavce"/>
    <w:uiPriority w:val="99"/>
    <w:unhideWhenUsed/>
    <w:rsid w:val="00D22462"/>
    <w:rPr>
      <w:color w:val="004B8D" w:themeColor="hyperlink"/>
      <w:u w:val="single"/>
    </w:rPr>
  </w:style>
  <w:style w:type="character" w:styleId="Zdraznnjemn">
    <w:name w:val="Subtle Emphasis"/>
    <w:basedOn w:val="Standardnpsmoodstavce"/>
    <w:uiPriority w:val="19"/>
    <w:qFormat/>
    <w:rsid w:val="00A275BC"/>
    <w:rPr>
      <w:i/>
      <w:iCs/>
      <w:color w:val="595959" w:themeColor="text1" w:themeTint="A6"/>
    </w:rPr>
  </w:style>
  <w:style w:type="character" w:styleId="Odkazjemn">
    <w:name w:val="Subtle Reference"/>
    <w:basedOn w:val="Standardnpsmoodstavce"/>
    <w:uiPriority w:val="23"/>
    <w:qFormat/>
    <w:rsid w:val="00A275BC"/>
    <w:rPr>
      <w:smallCaps/>
      <w:color w:val="5A5A5A" w:themeColor="text1" w:themeTint="A5"/>
    </w:rPr>
  </w:style>
  <w:style w:type="paragraph" w:styleId="Citt">
    <w:name w:val="Quote"/>
    <w:basedOn w:val="Normln"/>
    <w:next w:val="Normln"/>
    <w:link w:val="CittChar"/>
    <w:uiPriority w:val="27"/>
    <w:qFormat/>
    <w:rsid w:val="00713948"/>
    <w:pPr>
      <w:keepLines/>
      <w:spacing w:before="240"/>
      <w:ind w:left="357" w:right="357"/>
    </w:pPr>
    <w:rPr>
      <w:i/>
      <w:iCs/>
      <w:color w:val="595959" w:themeColor="text1" w:themeTint="A6"/>
    </w:rPr>
  </w:style>
  <w:style w:type="character" w:customStyle="1" w:styleId="CittChar">
    <w:name w:val="Citát Char"/>
    <w:basedOn w:val="Standardnpsmoodstavce"/>
    <w:link w:val="Citt"/>
    <w:uiPriority w:val="27"/>
    <w:rsid w:val="00713948"/>
    <w:rPr>
      <w:i/>
      <w:iCs/>
      <w:color w:val="595959" w:themeColor="text1" w:themeTint="A6"/>
    </w:rPr>
  </w:style>
  <w:style w:type="character" w:styleId="Zdraznn">
    <w:name w:val="Emphasis"/>
    <w:basedOn w:val="Standardnpsmoodstavce"/>
    <w:uiPriority w:val="20"/>
    <w:qFormat/>
    <w:rsid w:val="00713948"/>
    <w:rPr>
      <w:i/>
      <w:iCs/>
    </w:rPr>
  </w:style>
  <w:style w:type="paragraph" w:styleId="Nadpisobsahu">
    <w:name w:val="TOC Heading"/>
    <w:basedOn w:val="Nadpis1-mimoobsah"/>
    <w:next w:val="Normln"/>
    <w:uiPriority w:val="6"/>
    <w:unhideWhenUsed/>
    <w:qFormat/>
    <w:rsid w:val="003B565A"/>
  </w:style>
  <w:style w:type="paragraph" w:styleId="Datum">
    <w:name w:val="Date"/>
    <w:basedOn w:val="Normln"/>
    <w:next w:val="Normln"/>
    <w:link w:val="DatumChar"/>
    <w:uiPriority w:val="31"/>
    <w:unhideWhenUsed/>
    <w:rsid w:val="00486FB9"/>
  </w:style>
  <w:style w:type="character" w:customStyle="1" w:styleId="DatumChar">
    <w:name w:val="Datum Char"/>
    <w:basedOn w:val="Standardnpsmoodstavce"/>
    <w:link w:val="Datum"/>
    <w:uiPriority w:val="31"/>
    <w:rsid w:val="005455E1"/>
    <w:rPr>
      <w:color w:val="000000" w:themeColor="text1"/>
    </w:rPr>
  </w:style>
  <w:style w:type="paragraph" w:styleId="Textvbloku">
    <w:name w:val="Block Text"/>
    <w:basedOn w:val="Normln"/>
    <w:uiPriority w:val="29"/>
    <w:unhideWhenUsed/>
    <w:rsid w:val="009516A8"/>
    <w:pPr>
      <w:pBdr>
        <w:top w:val="single" w:sz="2" w:space="10" w:color="000000" w:themeColor="text1"/>
        <w:left w:val="single" w:sz="2" w:space="10" w:color="000000" w:themeColor="text1"/>
        <w:bottom w:val="single" w:sz="2" w:space="10" w:color="000000" w:themeColor="text1"/>
        <w:right w:val="single" w:sz="2" w:space="10" w:color="000000" w:themeColor="text1"/>
      </w:pBdr>
      <w:ind w:left="357" w:right="357"/>
    </w:pPr>
    <w:rPr>
      <w:rFonts w:eastAsiaTheme="minorEastAsia"/>
      <w:i/>
      <w:iCs/>
    </w:rPr>
  </w:style>
  <w:style w:type="character" w:styleId="Sledovanodkaz">
    <w:name w:val="FollowedHyperlink"/>
    <w:basedOn w:val="Standardnpsmoodstavce"/>
    <w:uiPriority w:val="34"/>
    <w:semiHidden/>
    <w:unhideWhenUsed/>
    <w:rsid w:val="00486FB9"/>
    <w:rPr>
      <w:color w:val="595959" w:themeColor="text1" w:themeTint="A6"/>
      <w:u w:val="single"/>
    </w:rPr>
  </w:style>
  <w:style w:type="paragraph" w:styleId="Zkladntext">
    <w:name w:val="Body Text"/>
    <w:basedOn w:val="Normln"/>
    <w:link w:val="ZkladntextChar"/>
    <w:uiPriority w:val="1"/>
    <w:rsid w:val="009F393D"/>
  </w:style>
  <w:style w:type="character" w:customStyle="1" w:styleId="ZkladntextChar">
    <w:name w:val="Základní text Char"/>
    <w:basedOn w:val="Standardnpsmoodstavce"/>
    <w:link w:val="Zkladntext"/>
    <w:uiPriority w:val="1"/>
    <w:rsid w:val="009F393D"/>
    <w:rPr>
      <w:color w:val="000000" w:themeColor="text1"/>
    </w:rPr>
  </w:style>
  <w:style w:type="paragraph" w:styleId="Zkladntext-prvnodsazen">
    <w:name w:val="Body Text First Indent"/>
    <w:basedOn w:val="Zkladntext"/>
    <w:link w:val="Zkladntext-prvnodsazenChar"/>
    <w:uiPriority w:val="1"/>
    <w:rsid w:val="009F393D"/>
    <w:pPr>
      <w:ind w:firstLine="357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1"/>
    <w:rsid w:val="009F393D"/>
    <w:rPr>
      <w:color w:val="000000" w:themeColor="text1"/>
    </w:rPr>
  </w:style>
  <w:style w:type="paragraph" w:styleId="Zkladntextodsazen">
    <w:name w:val="Body Text Indent"/>
    <w:basedOn w:val="Normln"/>
    <w:link w:val="ZkladntextodsazenChar"/>
    <w:uiPriority w:val="1"/>
    <w:rsid w:val="009F393D"/>
    <w:pPr>
      <w:ind w:left="357"/>
    </w:pPr>
  </w:style>
  <w:style w:type="character" w:customStyle="1" w:styleId="ZkladntextodsazenChar">
    <w:name w:val="Základní text odsazený Char"/>
    <w:basedOn w:val="Standardnpsmoodstavce"/>
    <w:link w:val="Zkladntextodsazen"/>
    <w:uiPriority w:val="1"/>
    <w:rsid w:val="00C805F2"/>
    <w:rPr>
      <w:color w:val="000000" w:themeColor="text1"/>
    </w:rPr>
  </w:style>
  <w:style w:type="paragraph" w:customStyle="1" w:styleId="SeznamsodrkamiB">
    <w:name w:val="Seznam s odrážkami B"/>
    <w:basedOn w:val="Normln"/>
    <w:uiPriority w:val="11"/>
    <w:qFormat/>
    <w:rsid w:val="007102D2"/>
    <w:pPr>
      <w:numPr>
        <w:numId w:val="36"/>
      </w:numPr>
      <w:spacing w:after="0"/>
    </w:pPr>
  </w:style>
  <w:style w:type="paragraph" w:customStyle="1" w:styleId="SeznamsodrkamiB2">
    <w:name w:val="Seznam s odrážkami B 2"/>
    <w:basedOn w:val="Normln"/>
    <w:uiPriority w:val="11"/>
    <w:qFormat/>
    <w:rsid w:val="007102D2"/>
    <w:pPr>
      <w:numPr>
        <w:ilvl w:val="1"/>
        <w:numId w:val="36"/>
      </w:numPr>
      <w:spacing w:after="0"/>
    </w:pPr>
  </w:style>
  <w:style w:type="paragraph" w:customStyle="1" w:styleId="SeznamsodrkamiB3">
    <w:name w:val="Seznam s odrážkami B 3"/>
    <w:basedOn w:val="Normln"/>
    <w:uiPriority w:val="11"/>
    <w:qFormat/>
    <w:rsid w:val="007102D2"/>
    <w:pPr>
      <w:numPr>
        <w:ilvl w:val="2"/>
        <w:numId w:val="36"/>
      </w:numPr>
      <w:spacing w:after="0"/>
    </w:pPr>
  </w:style>
  <w:style w:type="paragraph" w:customStyle="1" w:styleId="SeznamsodrkamiB4">
    <w:name w:val="Seznam s odrážkami B 4"/>
    <w:basedOn w:val="Normln"/>
    <w:uiPriority w:val="11"/>
    <w:qFormat/>
    <w:rsid w:val="007102D2"/>
    <w:pPr>
      <w:numPr>
        <w:ilvl w:val="3"/>
        <w:numId w:val="36"/>
      </w:numPr>
      <w:spacing w:after="0"/>
    </w:pPr>
  </w:style>
  <w:style w:type="paragraph" w:customStyle="1" w:styleId="SeznamsodrkamiB5">
    <w:name w:val="Seznam s odrážkami B 5"/>
    <w:basedOn w:val="Normln"/>
    <w:uiPriority w:val="11"/>
    <w:qFormat/>
    <w:rsid w:val="007102D2"/>
    <w:pPr>
      <w:numPr>
        <w:ilvl w:val="4"/>
        <w:numId w:val="36"/>
      </w:numPr>
      <w:spacing w:after="0"/>
    </w:pPr>
  </w:style>
  <w:style w:type="paragraph" w:styleId="Zhlav">
    <w:name w:val="header"/>
    <w:basedOn w:val="Normln"/>
    <w:link w:val="Zhlav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7FE0"/>
    <w:rPr>
      <w:color w:val="000000" w:themeColor="text1"/>
    </w:rPr>
  </w:style>
  <w:style w:type="paragraph" w:styleId="Zpat">
    <w:name w:val="footer"/>
    <w:basedOn w:val="Normln"/>
    <w:link w:val="ZpatChar"/>
    <w:uiPriority w:val="99"/>
    <w:unhideWhenUsed/>
    <w:rsid w:val="00677F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7FE0"/>
    <w:rPr>
      <w:color w:val="000000" w:themeColor="text1"/>
    </w:rPr>
  </w:style>
  <w:style w:type="paragraph" w:styleId="Prosttext">
    <w:name w:val="Plain Text"/>
    <w:basedOn w:val="Normln"/>
    <w:link w:val="ProsttextChar"/>
    <w:uiPriority w:val="99"/>
    <w:unhideWhenUsed/>
    <w:rsid w:val="00575AF5"/>
    <w:pPr>
      <w:spacing w:after="0" w:line="240" w:lineRule="auto"/>
    </w:pPr>
    <w:rPr>
      <w:rFonts w:ascii="Calibri" w:hAnsi="Calibri"/>
      <w:color w:val="auto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575AF5"/>
    <w:rPr>
      <w:rFonts w:ascii="Calibri" w:hAnsi="Calibri"/>
      <w:szCs w:val="21"/>
    </w:rPr>
  </w:style>
  <w:style w:type="paragraph" w:customStyle="1" w:styleId="oj-doc-ti">
    <w:name w:val="oj-doc-ti"/>
    <w:basedOn w:val="Normln"/>
    <w:rsid w:val="000F18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330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33042"/>
    <w:rPr>
      <w:rFonts w:ascii="Segoe UI" w:hAnsi="Segoe UI" w:cs="Segoe UI"/>
      <w:color w:val="000000" w:themeColor="text1"/>
      <w:sz w:val="18"/>
      <w:szCs w:val="18"/>
    </w:rPr>
  </w:style>
  <w:style w:type="paragraph" w:styleId="Revize">
    <w:name w:val="Revision"/>
    <w:hidden/>
    <w:uiPriority w:val="99"/>
    <w:semiHidden/>
    <w:rsid w:val="002C34B7"/>
    <w:pPr>
      <w:spacing w:after="0" w:line="240" w:lineRule="auto"/>
    </w:pPr>
    <w:rPr>
      <w:color w:val="000000" w:themeColor="text1"/>
    </w:rPr>
  </w:style>
  <w:style w:type="character" w:customStyle="1" w:styleId="OdstavecseseznamemChar">
    <w:name w:val="Odstavec se seznamem Char"/>
    <w:aliases w:val="Nad Char,Odstavec cíl se seznamem Char,Odstavec se seznamem5 Char,Conclusion de partie Char,_Odstavec se seznamem Char,Seznam - odrážky Char,Fiche List Paragraph Char,List Paragraph (Czech Tourism) Char,Název grafu Char"/>
    <w:link w:val="Odstavecseseznamem"/>
    <w:uiPriority w:val="35"/>
    <w:qFormat/>
    <w:locked/>
    <w:rsid w:val="00510ABF"/>
    <w:rPr>
      <w:color w:val="000000" w:themeColor="text1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5116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51168"/>
    <w:rPr>
      <w:color w:val="000000" w:themeColor="text1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5116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D275D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75D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275DB"/>
    <w:rPr>
      <w:color w:val="000000" w:themeColor="text1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75D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275DB"/>
    <w:rPr>
      <w:b/>
      <w:bCs/>
      <w:color w:val="000000" w:themeColor="text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71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MPO colors">
      <a:dk1>
        <a:srgbClr val="000000"/>
      </a:dk1>
      <a:lt1>
        <a:sysClr val="window" lastClr="FFFFFF"/>
      </a:lt1>
      <a:dk2>
        <a:srgbClr val="004B8D"/>
      </a:dk2>
      <a:lt2>
        <a:srgbClr val="B9E0F7"/>
      </a:lt2>
      <a:accent1>
        <a:srgbClr val="E31B23"/>
      </a:accent1>
      <a:accent2>
        <a:srgbClr val="004B8D"/>
      </a:accent2>
      <a:accent3>
        <a:srgbClr val="0096D6"/>
      </a:accent3>
      <a:accent4>
        <a:srgbClr val="B5121B"/>
      </a:accent4>
      <a:accent5>
        <a:srgbClr val="B9E0F7"/>
      </a:accent5>
      <a:accent6>
        <a:srgbClr val="13B5EA"/>
      </a:accent6>
      <a:hlink>
        <a:srgbClr val="004B8D"/>
      </a:hlink>
      <a:folHlink>
        <a:srgbClr val="B5121B"/>
      </a:folHlink>
    </a:clrScheme>
    <a:fontScheme name="MPO fonts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FA44214207B94495ADC38EB3EA8BF0" ma:contentTypeVersion="2" ma:contentTypeDescription="Vytvoří nový dokument" ma:contentTypeScope="" ma:versionID="d85c56abf25afc4f7cc630d93524351c">
  <xsd:schema xmlns:xsd="http://www.w3.org/2001/XMLSchema" xmlns:xs="http://www.w3.org/2001/XMLSchema" xmlns:p="http://schemas.microsoft.com/office/2006/metadata/properties" xmlns:ns2="981a7d58-7e9e-40e9-ae91-8166a8f0ee20" targetNamespace="http://schemas.microsoft.com/office/2006/metadata/properties" ma:root="true" ma:fieldsID="85acbbdb8b547b5a56fa1f9032260dca" ns2:_="">
    <xsd:import namespace="981a7d58-7e9e-40e9-ae91-8166a8f0e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a7d58-7e9e-40e9-ae91-8166a8f0e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066D4C-B064-41C9-98B6-5CDEA26615E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metadata/properties"/>
    <ds:schemaRef ds:uri="981a7d58-7e9e-40e9-ae91-8166a8f0ee20"/>
  </ds:schemaRefs>
</ds:datastoreItem>
</file>

<file path=customXml/itemProps2.xml><?xml version="1.0" encoding="utf-8"?>
<ds:datastoreItem xmlns:ds="http://schemas.openxmlformats.org/officeDocument/2006/customXml" ds:itemID="{EA4A9DA3-7694-4484-B2C2-8CF9A7775B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1a7d58-7e9e-40e9-ae91-8166a8f0e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232AF81-40BD-4F77-8BB0-AA938CF2943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7F82D7-F926-4F31-A36D-507E8FBDB9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2396</Words>
  <Characters>14140</Characters>
  <Application>Microsoft Office Word</Application>
  <DocSecurity>0</DocSecurity>
  <Lines>117</Lines>
  <Paragraphs>33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průmyslu a obchodu</Company>
  <LinksUpToDate>false</LinksUpToDate>
  <CharactersWithSpaces>16503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Nečasová Jana</dc:creator>
  <cp:keywords/>
  <dc:description/>
  <cp:lastModifiedBy>Hronová Helena</cp:lastModifiedBy>
  <cp:revision>6</cp:revision>
  <dcterms:created xsi:type="dcterms:W3CDTF">2024-03-08T12:37:00Z</dcterms:created>
  <dcterms:modified xsi:type="dcterms:W3CDTF">2026-05-27T07:44:00Z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0x01010063FA44214207B94495ADC38EB3EA8BF0</vt:lpwstr>
  </property>
</Properties>
</file>